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204C3" w14:textId="6265A08C" w:rsidR="00463D3B" w:rsidRPr="00463D3B" w:rsidRDefault="00463D3B" w:rsidP="00463D3B">
      <w:pPr>
        <w:tabs>
          <w:tab w:val="center" w:pos="4536"/>
          <w:tab w:val="right" w:pos="7938"/>
          <w:tab w:val="right" w:pos="9639"/>
        </w:tabs>
        <w:ind w:right="2"/>
        <w:rPr>
          <w:rFonts w:cs="Arial"/>
          <w:b/>
          <w:bCs/>
          <w:sz w:val="24"/>
          <w:szCs w:val="18"/>
        </w:rPr>
      </w:pPr>
      <w:r w:rsidRPr="00463D3B">
        <w:rPr>
          <w:rFonts w:cs="Arial"/>
          <w:b/>
          <w:bCs/>
          <w:sz w:val="24"/>
          <w:szCs w:val="18"/>
        </w:rPr>
        <w:t>3GPP TSG RAN WG1 #11</w:t>
      </w:r>
      <w:r w:rsidR="00E90BBD">
        <w:rPr>
          <w:rFonts w:cs="Arial"/>
          <w:b/>
          <w:bCs/>
          <w:sz w:val="24"/>
          <w:szCs w:val="18"/>
        </w:rPr>
        <w:t>2</w:t>
      </w:r>
      <w:r w:rsidR="000C50D2">
        <w:rPr>
          <w:rFonts w:cs="Arial"/>
          <w:b/>
          <w:bCs/>
          <w:sz w:val="24"/>
          <w:szCs w:val="18"/>
        </w:rPr>
        <w:t>bis-e</w:t>
      </w:r>
      <w:r w:rsidRPr="00463D3B">
        <w:rPr>
          <w:rFonts w:cs="Arial"/>
          <w:b/>
          <w:bCs/>
          <w:sz w:val="24"/>
          <w:szCs w:val="18"/>
        </w:rPr>
        <w:tab/>
      </w:r>
      <w:r w:rsidRPr="00463D3B">
        <w:rPr>
          <w:rFonts w:cs="Arial"/>
          <w:b/>
          <w:bCs/>
          <w:sz w:val="24"/>
          <w:szCs w:val="18"/>
        </w:rPr>
        <w:tab/>
      </w:r>
      <w:r w:rsidRPr="00463D3B">
        <w:rPr>
          <w:rFonts w:cs="Arial"/>
          <w:b/>
          <w:bCs/>
          <w:sz w:val="24"/>
          <w:szCs w:val="18"/>
        </w:rPr>
        <w:tab/>
        <w:t>R1-</w:t>
      </w:r>
      <w:r w:rsidR="00D16308" w:rsidRPr="00463D3B">
        <w:rPr>
          <w:rFonts w:cs="Arial"/>
          <w:b/>
          <w:bCs/>
          <w:sz w:val="24"/>
          <w:szCs w:val="18"/>
        </w:rPr>
        <w:t>2</w:t>
      </w:r>
      <w:r w:rsidR="00D16308">
        <w:rPr>
          <w:rFonts w:cs="Arial"/>
          <w:b/>
          <w:bCs/>
          <w:sz w:val="24"/>
          <w:szCs w:val="18"/>
        </w:rPr>
        <w:t>30</w:t>
      </w:r>
      <w:r w:rsidR="00000602">
        <w:rPr>
          <w:rFonts w:cs="Arial"/>
          <w:b/>
          <w:bCs/>
          <w:sz w:val="24"/>
          <w:szCs w:val="18"/>
        </w:rPr>
        <w:t>3542</w:t>
      </w:r>
    </w:p>
    <w:p w14:paraId="4691475D" w14:textId="4D9694C9" w:rsidR="000C50D2" w:rsidRDefault="000C50D2" w:rsidP="00EC2387">
      <w:pPr>
        <w:pStyle w:val="3GPPHeader"/>
      </w:pPr>
      <w:r>
        <w:t>e-Meeting, April 17</w:t>
      </w:r>
      <w:r w:rsidRPr="005C01D3">
        <w:rPr>
          <w:vertAlign w:val="superscript"/>
        </w:rPr>
        <w:t>th</w:t>
      </w:r>
      <w:r>
        <w:t xml:space="preserve"> – 26</w:t>
      </w:r>
      <w:r w:rsidRPr="005C01D3">
        <w:rPr>
          <w:vertAlign w:val="superscript"/>
        </w:rPr>
        <w:t>th</w:t>
      </w:r>
      <w:r>
        <w:t>, 2023</w:t>
      </w:r>
    </w:p>
    <w:p w14:paraId="7AD14354" w14:textId="0D721424"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3A01F2" w:rsidRPr="001A3494">
        <w:rPr>
          <w:sz w:val="22"/>
          <w:szCs w:val="22"/>
          <w:lang w:val="sv-SE"/>
        </w:rPr>
        <w:t>9.</w:t>
      </w:r>
      <w:r w:rsidR="005C01D3">
        <w:rPr>
          <w:sz w:val="22"/>
          <w:szCs w:val="22"/>
          <w:lang w:val="sv-SE"/>
        </w:rPr>
        <w:t>9</w:t>
      </w:r>
      <w:r w:rsidR="003A01F2" w:rsidRPr="001A3494">
        <w:rPr>
          <w:sz w:val="22"/>
          <w:szCs w:val="22"/>
          <w:lang w:val="sv-SE"/>
        </w:rPr>
        <w:t>.</w:t>
      </w:r>
      <w:r w:rsidR="006B3CFC" w:rsidRPr="00C51D7F">
        <w:rPr>
          <w:sz w:val="22"/>
          <w:szCs w:val="22"/>
          <w:lang w:val="sv-SE"/>
        </w:rPr>
        <w:t>3</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r w:rsidR="00C51D7F">
        <w:rPr>
          <w:sz w:val="22"/>
          <w:szCs w:val="22"/>
          <w:lang w:val="en-US"/>
        </w:rPr>
        <w:t>, Inc.</w:t>
      </w:r>
    </w:p>
    <w:p w14:paraId="28B90663" w14:textId="24A671A9"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8C4B13">
        <w:rPr>
          <w:sz w:val="22"/>
          <w:szCs w:val="22"/>
        </w:rPr>
        <w:t>D</w:t>
      </w:r>
      <w:r w:rsidR="00852EB9">
        <w:rPr>
          <w:sz w:val="22"/>
          <w:szCs w:val="22"/>
        </w:rPr>
        <w:t xml:space="preserve">isabling </w:t>
      </w:r>
      <w:r w:rsidR="008C4B13">
        <w:rPr>
          <w:sz w:val="22"/>
          <w:szCs w:val="22"/>
        </w:rPr>
        <w:t xml:space="preserve">of </w:t>
      </w:r>
      <w:r w:rsidR="00A00DA0">
        <w:rPr>
          <w:sz w:val="22"/>
          <w:szCs w:val="22"/>
        </w:rPr>
        <w:t>HARQ feedback in IoT-NTN</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6D3C2417" w:rsidR="00814D9B" w:rsidRPr="00E227D7" w:rsidRDefault="00E227D7" w:rsidP="00A5621B">
      <w:pPr>
        <w:spacing w:line="276" w:lineRule="auto"/>
        <w:rPr>
          <w:rFonts w:cs="Arial"/>
        </w:rPr>
      </w:pPr>
      <w:r>
        <w:rPr>
          <w:rFonts w:cs="Arial"/>
        </w:rPr>
        <w:t>RAN1 has made</w:t>
      </w:r>
      <w:r w:rsidR="0003535C" w:rsidRPr="00E227D7">
        <w:rPr>
          <w:rFonts w:cs="Arial"/>
        </w:rPr>
        <w:t xml:space="preserve"> the following agreements to narrow down the options for enabling/disabling of HARQ </w:t>
      </w:r>
      <w:r w:rsidRPr="00E227D7">
        <w:rPr>
          <w:rFonts w:cs="Arial"/>
        </w:rPr>
        <w:t>for eMTC and NB-IoT</w:t>
      </w:r>
      <w:r>
        <w:rPr>
          <w:rFonts w:cs="Arial"/>
        </w:rPr>
        <w:t xml:space="preserve"> in RAN1 #11</w:t>
      </w:r>
      <w:r w:rsidR="00940696">
        <w:rPr>
          <w:rFonts w:cs="Arial"/>
        </w:rPr>
        <w:t xml:space="preserve">2 </w:t>
      </w:r>
      <w:r w:rsidR="005D4D43">
        <w:rPr>
          <w:rFonts w:cs="Arial"/>
        </w:rPr>
        <w:t>[2]</w:t>
      </w:r>
      <w:r>
        <w:rPr>
          <w:rFonts w:cs="Arial"/>
        </w:rPr>
        <w:t>:</w:t>
      </w:r>
    </w:p>
    <w:p w14:paraId="32CE08A6" w14:textId="77777777" w:rsidR="00940696" w:rsidRPr="00940696" w:rsidRDefault="00940696" w:rsidP="00940696">
      <w:pPr>
        <w:rPr>
          <w:rFonts w:ascii="Times New Roman" w:eastAsia="Malgun Gothic" w:hAnsi="Times New Roman"/>
          <w:b/>
          <w:iCs/>
        </w:rPr>
      </w:pPr>
      <w:r w:rsidRPr="00940696">
        <w:rPr>
          <w:rFonts w:ascii="Times New Roman" w:eastAsia="Malgun Gothic" w:hAnsi="Times New Roman"/>
          <w:b/>
          <w:iCs/>
          <w:highlight w:val="green"/>
        </w:rPr>
        <w:t>Agreement</w:t>
      </w:r>
    </w:p>
    <w:p w14:paraId="252E8DC4" w14:textId="77777777" w:rsidR="00940696" w:rsidRPr="00940696" w:rsidRDefault="00940696" w:rsidP="00940696">
      <w:pPr>
        <w:rPr>
          <w:rFonts w:ascii="Times New Roman" w:eastAsia="DengXian" w:hAnsi="Times New Roman"/>
        </w:rPr>
      </w:pPr>
      <w:r w:rsidRPr="00940696">
        <w:rPr>
          <w:rFonts w:ascii="Times New Roman" w:eastAsia="DengXian" w:hAnsi="Times New Roman"/>
        </w:rPr>
        <w:t xml:space="preserve">For DCI-based overridden mechanism/indication in single TB scheduled by DCI, down select one of the following alternatives based on the criteria DCI overhead, PDCCH monitoring/power consumption, HARQ timer, impact on scheduling flexibility, UE implementation </w:t>
      </w:r>
      <w:proofErr w:type="gramStart"/>
      <w:r w:rsidRPr="00940696">
        <w:rPr>
          <w:rFonts w:ascii="Times New Roman" w:eastAsia="DengXian" w:hAnsi="Times New Roman"/>
        </w:rPr>
        <w:t>complexity</w:t>
      </w:r>
      <w:proofErr w:type="gramEnd"/>
    </w:p>
    <w:p w14:paraId="06015A4B" w14:textId="77777777" w:rsidR="00940696" w:rsidRPr="00940696" w:rsidRDefault="00940696" w:rsidP="00940696">
      <w:pPr>
        <w:numPr>
          <w:ilvl w:val="0"/>
          <w:numId w:val="29"/>
        </w:numPr>
        <w:overflowPunct/>
        <w:autoSpaceDE/>
        <w:autoSpaceDN/>
        <w:adjustRightInd/>
        <w:spacing w:after="0"/>
        <w:jc w:val="left"/>
        <w:textAlignment w:val="auto"/>
        <w:rPr>
          <w:rFonts w:ascii="Times New Roman" w:eastAsia="DengXian" w:hAnsi="Times New Roman"/>
        </w:rPr>
      </w:pPr>
      <w:r w:rsidRPr="00940696">
        <w:rPr>
          <w:rFonts w:ascii="Times New Roman" w:eastAsia="DengXian" w:hAnsi="Times New Roman"/>
        </w:rPr>
        <w:t xml:space="preserve">Alternative 1: applies to both semi-statically HARQ enabled and disabled </w:t>
      </w:r>
      <w:proofErr w:type="gramStart"/>
      <w:r w:rsidRPr="00940696">
        <w:rPr>
          <w:rFonts w:ascii="Times New Roman" w:eastAsia="DengXian" w:hAnsi="Times New Roman"/>
        </w:rPr>
        <w:t>processes</w:t>
      </w:r>
      <w:proofErr w:type="gramEnd"/>
    </w:p>
    <w:p w14:paraId="7CF1AAA9" w14:textId="77777777" w:rsidR="00940696" w:rsidRPr="00940696" w:rsidRDefault="00940696" w:rsidP="00940696">
      <w:pPr>
        <w:numPr>
          <w:ilvl w:val="0"/>
          <w:numId w:val="29"/>
        </w:numPr>
        <w:overflowPunct/>
        <w:autoSpaceDE/>
        <w:autoSpaceDN/>
        <w:adjustRightInd/>
        <w:spacing w:after="0"/>
        <w:jc w:val="left"/>
        <w:textAlignment w:val="auto"/>
        <w:rPr>
          <w:rFonts w:ascii="Times New Roman" w:eastAsia="DengXian" w:hAnsi="Times New Roman"/>
        </w:rPr>
      </w:pPr>
      <w:r w:rsidRPr="00940696">
        <w:rPr>
          <w:rFonts w:ascii="Times New Roman" w:eastAsia="DengXian" w:hAnsi="Times New Roman"/>
        </w:rPr>
        <w:t xml:space="preserve">Alternative 2: only applied to semi-statically HARQ disabled </w:t>
      </w:r>
      <w:proofErr w:type="gramStart"/>
      <w:r w:rsidRPr="00940696">
        <w:rPr>
          <w:rFonts w:ascii="Times New Roman" w:eastAsia="DengXian" w:hAnsi="Times New Roman"/>
        </w:rPr>
        <w:t>processes</w:t>
      </w:r>
      <w:proofErr w:type="gramEnd"/>
    </w:p>
    <w:p w14:paraId="5E2D172B" w14:textId="77777777" w:rsidR="00940696" w:rsidRPr="00940696" w:rsidRDefault="00940696" w:rsidP="00940696">
      <w:pPr>
        <w:numPr>
          <w:ilvl w:val="0"/>
          <w:numId w:val="29"/>
        </w:numPr>
        <w:overflowPunct/>
        <w:autoSpaceDE/>
        <w:autoSpaceDN/>
        <w:adjustRightInd/>
        <w:spacing w:after="0"/>
        <w:jc w:val="left"/>
        <w:textAlignment w:val="auto"/>
        <w:rPr>
          <w:rFonts w:ascii="Times New Roman" w:eastAsia="DengXian" w:hAnsi="Times New Roman"/>
        </w:rPr>
      </w:pPr>
      <w:r w:rsidRPr="00940696">
        <w:rPr>
          <w:rFonts w:ascii="Times New Roman" w:eastAsia="DengXian" w:hAnsi="Times New Roman"/>
        </w:rPr>
        <w:t xml:space="preserve">Alternative 3: only applied to semi-statically HARQ enabled </w:t>
      </w:r>
      <w:proofErr w:type="gramStart"/>
      <w:r w:rsidRPr="00940696">
        <w:rPr>
          <w:rFonts w:ascii="Times New Roman" w:eastAsia="DengXian" w:hAnsi="Times New Roman"/>
        </w:rPr>
        <w:t>processes</w:t>
      </w:r>
      <w:proofErr w:type="gramEnd"/>
    </w:p>
    <w:p w14:paraId="31203A83" w14:textId="77777777" w:rsidR="00940696" w:rsidRDefault="00940696" w:rsidP="00A5621B">
      <w:pPr>
        <w:spacing w:after="0" w:line="276" w:lineRule="auto"/>
        <w:rPr>
          <w:b/>
          <w:bCs/>
          <w:i/>
          <w:lang w:eastAsia="x-none"/>
        </w:rPr>
      </w:pPr>
    </w:p>
    <w:p w14:paraId="2AC4BA6E" w14:textId="77777777" w:rsidR="00940696" w:rsidRPr="00940696" w:rsidRDefault="00940696" w:rsidP="00940696">
      <w:pPr>
        <w:spacing w:beforeLines="50" w:before="120" w:afterLines="50"/>
        <w:rPr>
          <w:rFonts w:ascii="Times New Roman" w:hAnsi="Times New Roman"/>
          <w:b/>
          <w:bCs/>
          <w:highlight w:val="green"/>
        </w:rPr>
      </w:pPr>
      <w:r w:rsidRPr="00940696">
        <w:rPr>
          <w:rFonts w:ascii="Times New Roman" w:hAnsi="Times New Roman"/>
          <w:b/>
          <w:bCs/>
          <w:highlight w:val="green"/>
        </w:rPr>
        <w:t>Agreement</w:t>
      </w:r>
    </w:p>
    <w:p w14:paraId="5830CB7A" w14:textId="77777777" w:rsidR="00940696" w:rsidRPr="00940696" w:rsidRDefault="00940696" w:rsidP="00940696">
      <w:pPr>
        <w:rPr>
          <w:rFonts w:ascii="Times New Roman" w:hAnsi="Times New Roman"/>
        </w:rPr>
      </w:pPr>
      <w:r w:rsidRPr="00940696">
        <w:rPr>
          <w:rFonts w:ascii="Times New Roman" w:hAnsi="Times New Roman"/>
        </w:rPr>
        <w:t>Confirm the following working assumption with the following update:</w:t>
      </w:r>
    </w:p>
    <w:p w14:paraId="62FAE607" w14:textId="77777777" w:rsidR="00940696" w:rsidRPr="00940696" w:rsidRDefault="00940696" w:rsidP="00940696">
      <w:pPr>
        <w:spacing w:beforeLines="50" w:before="120" w:afterLines="50"/>
        <w:ind w:leftChars="100" w:left="200"/>
        <w:rPr>
          <w:rFonts w:ascii="Times New Roman" w:hAnsi="Times New Roman"/>
          <w:b/>
          <w:bCs/>
          <w:i/>
        </w:rPr>
      </w:pPr>
      <w:bookmarkStart w:id="0" w:name="_Hlk128662819"/>
      <w:r w:rsidRPr="00940696">
        <w:rPr>
          <w:rFonts w:ascii="Times New Roman" w:hAnsi="Times New Roman"/>
          <w:b/>
          <w:bCs/>
          <w:i/>
          <w:highlight w:val="darkYellow"/>
        </w:rPr>
        <w:t>Working assumption</w:t>
      </w:r>
    </w:p>
    <w:p w14:paraId="4E578B29" w14:textId="77777777" w:rsidR="00940696" w:rsidRPr="00940696" w:rsidRDefault="00940696" w:rsidP="00940696">
      <w:pPr>
        <w:pStyle w:val="xmsonormal"/>
        <w:ind w:leftChars="100" w:left="200"/>
        <w:rPr>
          <w:rFonts w:ascii="Times New Roman" w:hAnsi="Times New Roman" w:cs="Times New Roman"/>
          <w:iCs/>
          <w:sz w:val="20"/>
          <w:szCs w:val="20"/>
        </w:rPr>
      </w:pPr>
      <w:r w:rsidRPr="00940696">
        <w:rPr>
          <w:rFonts w:ascii="Times New Roman" w:hAnsi="Times New Roman" w:cs="Times New Roman"/>
          <w:iCs/>
          <w:sz w:val="20"/>
          <w:szCs w:val="20"/>
        </w:rPr>
        <w:t>For NB-IoT NTN and eMTC NTN for CE Mode B, to configure/indicate enabling/disabling of HARQ feedback for downlink transmission:</w:t>
      </w:r>
    </w:p>
    <w:p w14:paraId="1C270695" w14:textId="77777777" w:rsidR="00940696" w:rsidRPr="00940696" w:rsidRDefault="00940696" w:rsidP="00940696">
      <w:pPr>
        <w:numPr>
          <w:ilvl w:val="0"/>
          <w:numId w:val="25"/>
        </w:numPr>
        <w:overflowPunct/>
        <w:autoSpaceDE/>
        <w:autoSpaceDN/>
        <w:adjustRightInd/>
        <w:snapToGrid w:val="0"/>
        <w:spacing w:after="0"/>
        <w:ind w:leftChars="310" w:left="1040"/>
        <w:jc w:val="left"/>
        <w:textAlignment w:val="auto"/>
        <w:rPr>
          <w:rFonts w:ascii="Times New Roman" w:hAnsi="Times New Roman"/>
          <w:iCs/>
        </w:rPr>
      </w:pPr>
      <w:r w:rsidRPr="00940696">
        <w:rPr>
          <w:rFonts w:ascii="Times New Roman" w:hAnsi="Times New Roman"/>
          <w:iCs/>
        </w:rPr>
        <w:t xml:space="preserve">Support Option 1 in case only per-HARQ process bitmap </w:t>
      </w:r>
      <w:proofErr w:type="spellStart"/>
      <w:r w:rsidRPr="00940696">
        <w:rPr>
          <w:rFonts w:ascii="Times New Roman" w:hAnsi="Times New Roman"/>
          <w:iCs/>
        </w:rPr>
        <w:t>signaling</w:t>
      </w:r>
      <w:proofErr w:type="spellEnd"/>
      <w:r w:rsidRPr="00940696">
        <w:rPr>
          <w:rFonts w:ascii="Times New Roman" w:hAnsi="Times New Roman"/>
          <w:iCs/>
        </w:rPr>
        <w:t xml:space="preserve"> is </w:t>
      </w:r>
      <w:proofErr w:type="gramStart"/>
      <w:r w:rsidRPr="00940696">
        <w:rPr>
          <w:rFonts w:ascii="Times New Roman" w:hAnsi="Times New Roman"/>
          <w:iCs/>
        </w:rPr>
        <w:t>configured</w:t>
      </w:r>
      <w:proofErr w:type="gramEnd"/>
      <w:r w:rsidRPr="00940696">
        <w:rPr>
          <w:rFonts w:ascii="Times New Roman" w:hAnsi="Times New Roman"/>
          <w:iCs/>
        </w:rPr>
        <w:t xml:space="preserve"> </w:t>
      </w:r>
    </w:p>
    <w:p w14:paraId="20344F28" w14:textId="77777777" w:rsidR="00940696" w:rsidRPr="00940696" w:rsidRDefault="00940696" w:rsidP="00940696">
      <w:pPr>
        <w:numPr>
          <w:ilvl w:val="0"/>
          <w:numId w:val="25"/>
        </w:numPr>
        <w:overflowPunct/>
        <w:autoSpaceDE/>
        <w:autoSpaceDN/>
        <w:adjustRightInd/>
        <w:snapToGrid w:val="0"/>
        <w:spacing w:after="0"/>
        <w:ind w:leftChars="310" w:left="1040"/>
        <w:jc w:val="left"/>
        <w:textAlignment w:val="auto"/>
        <w:rPr>
          <w:rFonts w:ascii="Times New Roman" w:hAnsi="Times New Roman"/>
          <w:iCs/>
        </w:rPr>
      </w:pPr>
      <w:r w:rsidRPr="00940696">
        <w:rPr>
          <w:rFonts w:ascii="Times New Roman" w:hAnsi="Times New Roman"/>
          <w:iCs/>
        </w:rPr>
        <w:t xml:space="preserve">Support Option 3 DCI direct indication of HARQ feedback enable/disable in case only DCI solution enabling/disabling </w:t>
      </w:r>
      <w:proofErr w:type="spellStart"/>
      <w:r w:rsidRPr="00940696">
        <w:rPr>
          <w:rFonts w:ascii="Times New Roman" w:hAnsi="Times New Roman"/>
          <w:iCs/>
        </w:rPr>
        <w:t>signaling</w:t>
      </w:r>
      <w:proofErr w:type="spellEnd"/>
      <w:r w:rsidRPr="00940696">
        <w:rPr>
          <w:rFonts w:ascii="Times New Roman" w:hAnsi="Times New Roman"/>
          <w:iCs/>
        </w:rPr>
        <w:t xml:space="preserve"> is </w:t>
      </w:r>
      <w:proofErr w:type="gramStart"/>
      <w:r w:rsidRPr="00940696">
        <w:rPr>
          <w:rFonts w:ascii="Times New Roman" w:hAnsi="Times New Roman"/>
          <w:iCs/>
        </w:rPr>
        <w:t>configured</w:t>
      </w:r>
      <w:proofErr w:type="gramEnd"/>
    </w:p>
    <w:p w14:paraId="11CD80E2" w14:textId="77777777" w:rsidR="00940696" w:rsidRPr="00940696" w:rsidRDefault="00940696" w:rsidP="00940696">
      <w:pPr>
        <w:numPr>
          <w:ilvl w:val="0"/>
          <w:numId w:val="25"/>
        </w:numPr>
        <w:overflowPunct/>
        <w:autoSpaceDE/>
        <w:autoSpaceDN/>
        <w:adjustRightInd/>
        <w:snapToGrid w:val="0"/>
        <w:spacing w:after="0"/>
        <w:ind w:leftChars="310" w:left="1040"/>
        <w:jc w:val="left"/>
        <w:textAlignment w:val="auto"/>
        <w:rPr>
          <w:rFonts w:ascii="Times New Roman" w:hAnsi="Times New Roman"/>
          <w:iCs/>
        </w:rPr>
      </w:pPr>
      <w:r w:rsidRPr="00940696">
        <w:rPr>
          <w:rFonts w:ascii="Times New Roman" w:hAnsi="Times New Roman"/>
          <w:iCs/>
        </w:rPr>
        <w:t xml:space="preserve">Support Option 3 DCI indication to override Option 1 configuration for corresponding transmission in case both per-HARQ process bitmap and DCI solution enabling/disabling </w:t>
      </w:r>
      <w:proofErr w:type="spellStart"/>
      <w:r w:rsidRPr="00940696">
        <w:rPr>
          <w:rFonts w:ascii="Times New Roman" w:hAnsi="Times New Roman"/>
          <w:iCs/>
        </w:rPr>
        <w:t>signaling</w:t>
      </w:r>
      <w:proofErr w:type="spellEnd"/>
      <w:r w:rsidRPr="00940696">
        <w:rPr>
          <w:rFonts w:ascii="Times New Roman" w:hAnsi="Times New Roman"/>
          <w:iCs/>
        </w:rPr>
        <w:t xml:space="preserve"> are </w:t>
      </w:r>
      <w:proofErr w:type="gramStart"/>
      <w:r w:rsidRPr="00940696">
        <w:rPr>
          <w:rFonts w:ascii="Times New Roman" w:hAnsi="Times New Roman"/>
          <w:iCs/>
        </w:rPr>
        <w:t>configured</w:t>
      </w:r>
      <w:proofErr w:type="gramEnd"/>
    </w:p>
    <w:p w14:paraId="49A45011" w14:textId="77777777" w:rsidR="00940696" w:rsidRPr="00940696" w:rsidRDefault="00940696" w:rsidP="00940696">
      <w:pPr>
        <w:numPr>
          <w:ilvl w:val="1"/>
          <w:numId w:val="25"/>
        </w:numPr>
        <w:overflowPunct/>
        <w:autoSpaceDE/>
        <w:autoSpaceDN/>
        <w:adjustRightInd/>
        <w:snapToGrid w:val="0"/>
        <w:spacing w:after="0"/>
        <w:ind w:leftChars="457" w:left="1334"/>
        <w:jc w:val="left"/>
        <w:textAlignment w:val="auto"/>
        <w:rPr>
          <w:rFonts w:ascii="Times New Roman" w:hAnsi="Times New Roman"/>
          <w:iCs/>
        </w:rPr>
      </w:pPr>
      <w:r w:rsidRPr="00940696">
        <w:rPr>
          <w:rFonts w:ascii="Times New Roman" w:hAnsi="Times New Roman"/>
          <w:iCs/>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3FA08899" w14:textId="4F141B8E" w:rsidR="00940696" w:rsidRPr="00940696" w:rsidRDefault="00940696" w:rsidP="00940696">
      <w:pPr>
        <w:numPr>
          <w:ilvl w:val="1"/>
          <w:numId w:val="25"/>
        </w:numPr>
        <w:overflowPunct/>
        <w:autoSpaceDE/>
        <w:autoSpaceDN/>
        <w:adjustRightInd/>
        <w:snapToGrid w:val="0"/>
        <w:spacing w:after="0"/>
        <w:ind w:leftChars="457" w:left="1334"/>
        <w:jc w:val="left"/>
        <w:textAlignment w:val="auto"/>
        <w:rPr>
          <w:rFonts w:ascii="Times New Roman" w:hAnsi="Times New Roman"/>
          <w:iCs/>
        </w:rPr>
      </w:pPr>
      <w:r w:rsidRPr="00940696">
        <w:rPr>
          <w:rFonts w:ascii="Times New Roman" w:hAnsi="Times New Roman"/>
          <w:iCs/>
        </w:rPr>
        <w:t xml:space="preserve">FFS #2: whether/how to support Option 3 overriding Option 1 configuration for corresponding transmission for multiple TBs scheduled by single </w:t>
      </w:r>
      <w:proofErr w:type="gramStart"/>
      <w:r w:rsidRPr="00940696">
        <w:rPr>
          <w:rFonts w:ascii="Times New Roman" w:hAnsi="Times New Roman"/>
          <w:iCs/>
        </w:rPr>
        <w:t>DCI</w:t>
      </w:r>
      <w:proofErr w:type="gramEnd"/>
    </w:p>
    <w:p w14:paraId="0CA5290E" w14:textId="77777777" w:rsidR="00940696" w:rsidRPr="00940696" w:rsidRDefault="00940696" w:rsidP="00940696">
      <w:pPr>
        <w:numPr>
          <w:ilvl w:val="1"/>
          <w:numId w:val="25"/>
        </w:numPr>
        <w:overflowPunct/>
        <w:autoSpaceDE/>
        <w:autoSpaceDN/>
        <w:adjustRightInd/>
        <w:snapToGrid w:val="0"/>
        <w:spacing w:after="0"/>
        <w:ind w:leftChars="457" w:left="1334"/>
        <w:jc w:val="left"/>
        <w:textAlignment w:val="auto"/>
        <w:rPr>
          <w:rFonts w:ascii="Times New Roman" w:hAnsi="Times New Roman"/>
          <w:iCs/>
        </w:rPr>
      </w:pPr>
      <w:r w:rsidRPr="00940696">
        <w:rPr>
          <w:rFonts w:ascii="Times New Roman" w:hAnsi="Times New Roman"/>
        </w:rPr>
        <w:t>FFS#3</w:t>
      </w:r>
      <w:r w:rsidRPr="00940696">
        <w:rPr>
          <w:rFonts w:ascii="Batang" w:eastAsia="Batang" w:hAnsi="Batang" w:cs="Batang" w:hint="eastAsia"/>
        </w:rPr>
        <w:t>：</w:t>
      </w:r>
      <w:r w:rsidRPr="00940696">
        <w:rPr>
          <w:rFonts w:ascii="Times New Roman" w:hAnsi="Times New Roman"/>
        </w:rPr>
        <w:t xml:space="preserve">Option 3 DCI-based overridden mechanism is DCI </w:t>
      </w:r>
      <w:proofErr w:type="spellStart"/>
      <w:r w:rsidRPr="00940696">
        <w:rPr>
          <w:rFonts w:ascii="Times New Roman" w:hAnsi="Times New Roman"/>
        </w:rPr>
        <w:t>signaling</w:t>
      </w:r>
      <w:proofErr w:type="spellEnd"/>
      <w:r w:rsidRPr="00940696">
        <w:rPr>
          <w:rFonts w:ascii="Times New Roman" w:hAnsi="Times New Roman"/>
        </w:rPr>
        <w:t xml:space="preserve"> to reverse the HARQ feedback enable/disable for the corresponding transmission from per-HARQ process RRC configuration or DCI </w:t>
      </w:r>
      <w:proofErr w:type="spellStart"/>
      <w:r w:rsidRPr="00940696">
        <w:rPr>
          <w:rFonts w:ascii="Times New Roman" w:hAnsi="Times New Roman"/>
        </w:rPr>
        <w:t>signaling</w:t>
      </w:r>
      <w:proofErr w:type="spellEnd"/>
      <w:r w:rsidRPr="00940696">
        <w:rPr>
          <w:rFonts w:ascii="Times New Roman" w:hAnsi="Times New Roman"/>
        </w:rPr>
        <w:t xml:space="preserve"> to directly indicate the HARQ feedback enable/disable for the corresponding transmission regardless of per-HARQ process RRC configuration.</w:t>
      </w:r>
    </w:p>
    <w:p w14:paraId="3724BEE6" w14:textId="77777777" w:rsidR="00940696" w:rsidRPr="00940696" w:rsidRDefault="00940696" w:rsidP="00940696">
      <w:pPr>
        <w:ind w:leftChars="100" w:left="200"/>
        <w:rPr>
          <w:rFonts w:ascii="Times New Roman" w:hAnsi="Times New Roman"/>
        </w:rPr>
      </w:pPr>
      <w:r w:rsidRPr="00940696">
        <w:rPr>
          <w:rFonts w:ascii="Times New Roman" w:hAnsi="Times New Roman"/>
        </w:rPr>
        <w:t>RAN1 strives to have a common design (in terms of DCI design, PDCCH monitoring, etc.) for “Option 3” and “Option 3 + Option 1”.</w:t>
      </w:r>
    </w:p>
    <w:p w14:paraId="17BC5BF8" w14:textId="77777777" w:rsidR="00940696" w:rsidRPr="00940696" w:rsidRDefault="00940696" w:rsidP="00940696">
      <w:pPr>
        <w:ind w:leftChars="100" w:left="200"/>
        <w:rPr>
          <w:rFonts w:ascii="Times New Roman" w:hAnsi="Times New Roman"/>
          <w:iCs/>
        </w:rPr>
      </w:pPr>
      <w:r w:rsidRPr="00940696">
        <w:rPr>
          <w:rFonts w:ascii="Times New Roman" w:hAnsi="Times New Roman"/>
          <w:iCs/>
        </w:rPr>
        <w:t>For eMTC NTN, to configure/indicate enabling/disabling of HARQ feedback for downlink transmission, take Option 1 for CE Mode A.</w:t>
      </w:r>
      <w:bookmarkEnd w:id="0"/>
    </w:p>
    <w:p w14:paraId="3020E77A" w14:textId="77777777" w:rsidR="00940696" w:rsidRPr="004F09A1" w:rsidRDefault="00940696" w:rsidP="00940696">
      <w:pPr>
        <w:rPr>
          <w:lang w:eastAsia="x-none"/>
        </w:rPr>
      </w:pPr>
    </w:p>
    <w:p w14:paraId="795CF780" w14:textId="77777777" w:rsidR="00940696" w:rsidRPr="00940696" w:rsidRDefault="00940696" w:rsidP="00940696">
      <w:pPr>
        <w:rPr>
          <w:rFonts w:ascii="Times New Roman" w:hAnsi="Times New Roman"/>
          <w:b/>
          <w:lang w:eastAsia="x-none"/>
        </w:rPr>
      </w:pPr>
      <w:r w:rsidRPr="00940696">
        <w:rPr>
          <w:rFonts w:ascii="Times New Roman" w:hAnsi="Times New Roman"/>
          <w:b/>
          <w:highlight w:val="green"/>
          <w:lang w:eastAsia="x-none"/>
        </w:rPr>
        <w:t>Agreement</w:t>
      </w:r>
    </w:p>
    <w:p w14:paraId="7E8FF4F0" w14:textId="77777777" w:rsidR="00940696" w:rsidRPr="00940696" w:rsidRDefault="00940696" w:rsidP="00940696">
      <w:pPr>
        <w:rPr>
          <w:rFonts w:ascii="Times New Roman" w:hAnsi="Times New Roman"/>
        </w:rPr>
      </w:pPr>
      <w:r w:rsidRPr="00940696">
        <w:rPr>
          <w:rFonts w:ascii="Times New Roman" w:hAnsi="Times New Roman"/>
        </w:rPr>
        <w:t xml:space="preserve">For DCI-based overridden/direct indication, down select one of the following based on the criteria DCI overhead, PDCCH monitoring </w:t>
      </w:r>
      <w:proofErr w:type="spellStart"/>
      <w:r w:rsidRPr="00940696">
        <w:rPr>
          <w:rFonts w:ascii="Times New Roman" w:hAnsi="Times New Roman"/>
        </w:rPr>
        <w:t>behavior</w:t>
      </w:r>
      <w:proofErr w:type="spellEnd"/>
      <w:r w:rsidRPr="00940696">
        <w:rPr>
          <w:rFonts w:ascii="Times New Roman" w:hAnsi="Times New Roman"/>
        </w:rPr>
        <w:t xml:space="preserve">, impact on scheduling flexibility, UE implementation complexity, </w:t>
      </w:r>
      <w:proofErr w:type="gramStart"/>
      <w:r w:rsidRPr="00940696">
        <w:rPr>
          <w:rFonts w:ascii="Times New Roman" w:hAnsi="Times New Roman"/>
        </w:rPr>
        <w:t>etc</w:t>
      </w:r>
      <w:proofErr w:type="gramEnd"/>
    </w:p>
    <w:p w14:paraId="73B49CBC" w14:textId="77777777" w:rsidR="00940696" w:rsidRPr="00940696" w:rsidRDefault="00940696" w:rsidP="00940696">
      <w:pPr>
        <w:numPr>
          <w:ilvl w:val="0"/>
          <w:numId w:val="29"/>
        </w:numPr>
        <w:overflowPunct/>
        <w:autoSpaceDE/>
        <w:autoSpaceDN/>
        <w:adjustRightInd/>
        <w:spacing w:after="0"/>
        <w:jc w:val="left"/>
        <w:textAlignment w:val="auto"/>
        <w:rPr>
          <w:rFonts w:ascii="Times New Roman" w:eastAsia="DengXian" w:hAnsi="Times New Roman"/>
        </w:rPr>
      </w:pPr>
      <w:r w:rsidRPr="00940696">
        <w:rPr>
          <w:rFonts w:ascii="Times New Roman" w:eastAsia="DengXian" w:hAnsi="Times New Roman"/>
        </w:rPr>
        <w:t xml:space="preserve">Option 1: Indication by adding one field in </w:t>
      </w:r>
      <w:proofErr w:type="gramStart"/>
      <w:r w:rsidRPr="00940696">
        <w:rPr>
          <w:rFonts w:ascii="Times New Roman" w:eastAsia="DengXian" w:hAnsi="Times New Roman"/>
        </w:rPr>
        <w:t>DCI</w:t>
      </w:r>
      <w:proofErr w:type="gramEnd"/>
    </w:p>
    <w:p w14:paraId="72EDDABF" w14:textId="77777777" w:rsidR="00940696" w:rsidRPr="00940696" w:rsidRDefault="00940696" w:rsidP="00940696">
      <w:pPr>
        <w:numPr>
          <w:ilvl w:val="0"/>
          <w:numId w:val="29"/>
        </w:numPr>
        <w:overflowPunct/>
        <w:autoSpaceDE/>
        <w:autoSpaceDN/>
        <w:adjustRightInd/>
        <w:spacing w:after="0"/>
        <w:jc w:val="left"/>
        <w:textAlignment w:val="auto"/>
        <w:rPr>
          <w:rFonts w:ascii="Times New Roman" w:eastAsia="DengXian" w:hAnsi="Times New Roman"/>
        </w:rPr>
      </w:pPr>
      <w:r w:rsidRPr="00940696">
        <w:rPr>
          <w:rFonts w:ascii="Times New Roman" w:eastAsia="DengXian" w:hAnsi="Times New Roman"/>
        </w:rPr>
        <w:t>Option 2: Indication by reusing/reinterpreting existing field in DCI</w:t>
      </w:r>
    </w:p>
    <w:p w14:paraId="7DB3816B" w14:textId="77777777" w:rsidR="00940696" w:rsidRPr="00940696" w:rsidRDefault="00940696" w:rsidP="00A5621B">
      <w:pPr>
        <w:spacing w:after="0" w:line="276" w:lineRule="auto"/>
        <w:rPr>
          <w:b/>
          <w:bCs/>
          <w:i/>
          <w:lang w:eastAsia="x-none"/>
        </w:rPr>
      </w:pPr>
    </w:p>
    <w:p w14:paraId="2C4B1C75" w14:textId="77777777" w:rsidR="002158EF" w:rsidRPr="00F53E33" w:rsidRDefault="002158EF" w:rsidP="000F3451">
      <w:pPr>
        <w:rPr>
          <w:rFonts w:cs="Arial"/>
          <w:i/>
        </w:rPr>
      </w:pPr>
    </w:p>
    <w:p w14:paraId="5BBC67AE" w14:textId="67BA8800" w:rsidR="00E227D7" w:rsidRPr="00A5621B" w:rsidRDefault="00E227D7" w:rsidP="00A5621B">
      <w:pPr>
        <w:spacing w:line="276" w:lineRule="auto"/>
        <w:rPr>
          <w:iCs/>
          <w:lang w:val="en-US" w:eastAsia="x-none"/>
        </w:rPr>
      </w:pPr>
      <w:r>
        <w:rPr>
          <w:iCs/>
          <w:lang w:val="en-US" w:eastAsia="x-none"/>
        </w:rPr>
        <w:t xml:space="preserve">In this contribution, we further discuss on the </w:t>
      </w:r>
      <w:r w:rsidR="00E071EE">
        <w:rPr>
          <w:iCs/>
          <w:lang w:val="en-US" w:eastAsia="x-none"/>
        </w:rPr>
        <w:t>working assumption</w:t>
      </w:r>
      <w:r>
        <w:rPr>
          <w:iCs/>
          <w:lang w:val="en-US" w:eastAsia="x-none"/>
        </w:rPr>
        <w:t xml:space="preserve"> listed above for enabling/disabling DL HARQ feedback for NB-IoT NTN as well as for eMTC NTN.</w:t>
      </w:r>
    </w:p>
    <w:p w14:paraId="197E28B8" w14:textId="39492A67" w:rsidR="005605E9" w:rsidRDefault="00277FF0" w:rsidP="005605E9">
      <w:pPr>
        <w:pStyle w:val="Heading1"/>
      </w:pPr>
      <w:r>
        <w:t>Discussion</w:t>
      </w:r>
    </w:p>
    <w:p w14:paraId="3CF46C80" w14:textId="34177D22" w:rsidR="00BB581B" w:rsidRPr="00D91571" w:rsidRDefault="00EF1002" w:rsidP="00BB581B">
      <w:pPr>
        <w:pStyle w:val="Heading2"/>
      </w:pPr>
      <w:r>
        <w:t xml:space="preserve">Remaining details of enabling/disabling </w:t>
      </w:r>
      <w:r w:rsidR="00BB581B">
        <w:t>HARQ feedback</w:t>
      </w:r>
    </w:p>
    <w:p w14:paraId="16615FF1" w14:textId="2F4AA969" w:rsidR="002941F9" w:rsidRDefault="00EF1002" w:rsidP="005C01D3">
      <w:pPr>
        <w:spacing w:line="276" w:lineRule="auto"/>
      </w:pPr>
      <w:r>
        <w:t>In RAN1 #112, i</w:t>
      </w:r>
      <w:r w:rsidR="002941F9">
        <w:t xml:space="preserve">t has been agreed that three modes of operation for enabling/disabling HARQ feedback for NB-IoT NTN are supported, such as RRC configuration (i.e., </w:t>
      </w:r>
      <w:r>
        <w:t>O</w:t>
      </w:r>
      <w:r w:rsidR="002941F9">
        <w:t>ption 1</w:t>
      </w:r>
      <w:r w:rsidR="00852027">
        <w:t xml:space="preserve"> only</w:t>
      </w:r>
      <w:r w:rsidR="002941F9">
        <w:t xml:space="preserve">), </w:t>
      </w:r>
      <w:r>
        <w:t>DCI direct indication (i.e., Option 3</w:t>
      </w:r>
      <w:r w:rsidR="00852027">
        <w:t xml:space="preserve"> only</w:t>
      </w:r>
      <w:r>
        <w:t>), and DCI indication to override RRC configuration (i.e., Option 1+ Option 3), where which mode of operation to use is based on configuration of Option 1 and/or Option 3.</w:t>
      </w:r>
    </w:p>
    <w:p w14:paraId="7DDC0B24" w14:textId="7EE7789C" w:rsidR="00EF1002" w:rsidRDefault="00EF1002" w:rsidP="005C01D3">
      <w:pPr>
        <w:spacing w:line="276" w:lineRule="auto"/>
      </w:pPr>
      <w:r>
        <w:t>There are still remaining details how to apply the indication from DCI-based overridden mechanism and indication method for DCI-based overridden/direct indication.</w:t>
      </w:r>
    </w:p>
    <w:p w14:paraId="7237CEBF" w14:textId="640942E2" w:rsidR="00EF1002" w:rsidRDefault="00EF1002" w:rsidP="005C01D3">
      <w:pPr>
        <w:spacing w:line="276" w:lineRule="auto"/>
      </w:pPr>
      <w:r>
        <w:t>The following three alternatives have been discussed as case for which the DCI-based overridden indication applies:</w:t>
      </w:r>
    </w:p>
    <w:p w14:paraId="2672F241" w14:textId="0D475B99" w:rsidR="00EF1002" w:rsidRDefault="00EF1002" w:rsidP="005C01D3">
      <w:pPr>
        <w:pStyle w:val="ListParagraph"/>
        <w:numPr>
          <w:ilvl w:val="0"/>
          <w:numId w:val="31"/>
        </w:numPr>
        <w:spacing w:line="276" w:lineRule="auto"/>
      </w:pPr>
      <w:r>
        <w:t xml:space="preserve">Alt-1: indication applies to both semi-statically HARQ enabled and disabled </w:t>
      </w:r>
      <w:proofErr w:type="gramStart"/>
      <w:r>
        <w:t>processes</w:t>
      </w:r>
      <w:proofErr w:type="gramEnd"/>
    </w:p>
    <w:p w14:paraId="6A19B588" w14:textId="078CF5C6" w:rsidR="00EF1002" w:rsidRDefault="00EF1002" w:rsidP="005C01D3">
      <w:pPr>
        <w:pStyle w:val="ListParagraph"/>
        <w:numPr>
          <w:ilvl w:val="0"/>
          <w:numId w:val="31"/>
        </w:numPr>
        <w:spacing w:line="276" w:lineRule="auto"/>
      </w:pPr>
      <w:r>
        <w:t xml:space="preserve">Alt-2: indication only applies to semi-statically HARQ disabled </w:t>
      </w:r>
      <w:proofErr w:type="gramStart"/>
      <w:r>
        <w:t>processes</w:t>
      </w:r>
      <w:proofErr w:type="gramEnd"/>
    </w:p>
    <w:p w14:paraId="75667490" w14:textId="2EAED268" w:rsidR="00EF1002" w:rsidRDefault="00EF1002" w:rsidP="005C01D3">
      <w:pPr>
        <w:pStyle w:val="ListParagraph"/>
        <w:numPr>
          <w:ilvl w:val="0"/>
          <w:numId w:val="31"/>
        </w:numPr>
        <w:spacing w:line="276" w:lineRule="auto"/>
      </w:pPr>
      <w:r>
        <w:t xml:space="preserve">Alt-3: </w:t>
      </w:r>
      <w:r w:rsidR="00C8702E">
        <w:t xml:space="preserve">indication only applies to semi-statically HARQ enabled </w:t>
      </w:r>
      <w:proofErr w:type="gramStart"/>
      <w:r w:rsidR="00C8702E">
        <w:t>processes</w:t>
      </w:r>
      <w:proofErr w:type="gramEnd"/>
    </w:p>
    <w:p w14:paraId="3B91CA4B" w14:textId="5776CE52" w:rsidR="00852027" w:rsidRDefault="00C8702E" w:rsidP="00ED342F">
      <w:pPr>
        <w:spacing w:line="276" w:lineRule="auto"/>
      </w:pPr>
      <w:r>
        <w:t xml:space="preserve">The one of main benefits of having DCI-based overridden indication is </w:t>
      </w:r>
      <w:r w:rsidR="006D45C8">
        <w:t xml:space="preserve">scheduling flexibility at the </w:t>
      </w:r>
      <w:proofErr w:type="spellStart"/>
      <w:r w:rsidR="006D45C8">
        <w:t>eNB</w:t>
      </w:r>
      <w:proofErr w:type="spellEnd"/>
      <w:r w:rsidR="006D45C8">
        <w:t xml:space="preserve"> as it can </w:t>
      </w:r>
      <w:r w:rsidR="009E36AA">
        <w:t>change HARQ enabling/disabling status temporarily without RRC reconfiguration based on traffic characteristics. Also, it is beneficial for the UE with only CP solution as well in terms of flexibility since RRC reconfiguration is not supported for those type of UEs.</w:t>
      </w:r>
      <w:r w:rsidR="00852027">
        <w:t xml:space="preserve"> However, Alt-1 seems to be equivalent to the DCI direction indication mode of operation (i.e., Option 3 only)</w:t>
      </w:r>
      <w:r w:rsidR="00CB72ED">
        <w:t xml:space="preserve"> </w:t>
      </w:r>
      <w:proofErr w:type="gramStart"/>
      <w:r w:rsidR="00CB72ED">
        <w:t>assuming that</w:t>
      </w:r>
      <w:proofErr w:type="gramEnd"/>
      <w:r w:rsidR="00CB72ED">
        <w:t xml:space="preserve"> DCI-based overridden indication exists in the DCI always</w:t>
      </w:r>
      <w:r w:rsidR="00852027">
        <w:t xml:space="preserve">. Therefore, considering Option 3 only is already </w:t>
      </w:r>
      <w:r w:rsidR="00A0561A">
        <w:t xml:space="preserve">a </w:t>
      </w:r>
      <w:r w:rsidR="00852027">
        <w:t>possible configuration, Alt-1 doesn’t seem to provide any additional benefit.</w:t>
      </w:r>
    </w:p>
    <w:p w14:paraId="23747B5B" w14:textId="0236882F" w:rsidR="00CB72ED" w:rsidRDefault="00CB72ED" w:rsidP="00ED342F">
      <w:pPr>
        <w:spacing w:line="276" w:lineRule="auto"/>
      </w:pPr>
      <w:r>
        <w:t>From DCI overhead perspective, Alt-2 may allow to reuse existing DCI field (e.g., NDI) which is not used when corresponding HARQ process is disabled, therefore lower DCI overhead without restricting any scheduling flexibility. On the other hand, Alt-1 and Alt-3 may require introducing a new DCI field or reuse existing field with potential scheduling restriction.</w:t>
      </w:r>
    </w:p>
    <w:p w14:paraId="1057E662" w14:textId="37458BFB" w:rsidR="00ED342F" w:rsidRDefault="00CB72ED" w:rsidP="00ED342F">
      <w:pPr>
        <w:spacing w:line="276" w:lineRule="auto"/>
      </w:pPr>
      <w:r>
        <w:t xml:space="preserve">For down-selection of alternatives, the indication option </w:t>
      </w:r>
      <w:proofErr w:type="gramStart"/>
      <w:r>
        <w:t>has to</w:t>
      </w:r>
      <w:proofErr w:type="gramEnd"/>
      <w:r>
        <w:t xml:space="preserve"> be decided together as some of alternative has benefit only when a specific indication option is used. For example, if a new DCI field is introduced for DCI-based overridden</w:t>
      </w:r>
      <w:r w:rsidR="00A0561A">
        <w:t>/direct</w:t>
      </w:r>
      <w:r>
        <w:t xml:space="preserve"> indication, Alt-1 seems to be the best choice although it is equivalent to the Option 3 only as it provides flexibility</w:t>
      </w:r>
      <w:r w:rsidR="00A0561A">
        <w:t xml:space="preserve"> </w:t>
      </w:r>
      <w:proofErr w:type="gramStart"/>
      <w:r w:rsidR="00A0561A">
        <w:t>in a given</w:t>
      </w:r>
      <w:proofErr w:type="gramEnd"/>
      <w:r w:rsidR="00A0561A">
        <w:t xml:space="preserve"> DCI overhead</w:t>
      </w:r>
      <w:r>
        <w:t xml:space="preserve">. If existing field in DCI is reused, Alt-2 could be a preferable option as </w:t>
      </w:r>
      <w:r w:rsidR="00ED342F">
        <w:t>it can reuse an existing DCI field without losing any scheduling flexibility.</w:t>
      </w:r>
    </w:p>
    <w:p w14:paraId="47551A6C" w14:textId="61FEED0E" w:rsidR="00EF1002" w:rsidRPr="005C01D3" w:rsidRDefault="00ED342F" w:rsidP="005C01D3">
      <w:pPr>
        <w:spacing w:line="276" w:lineRule="auto"/>
        <w:rPr>
          <w:i/>
          <w:iCs/>
        </w:rPr>
      </w:pPr>
      <w:r w:rsidRPr="005C01D3">
        <w:rPr>
          <w:b/>
          <w:bCs/>
          <w:i/>
          <w:iCs/>
        </w:rPr>
        <w:t>Observation 1:</w:t>
      </w:r>
      <w:r w:rsidRPr="005C01D3">
        <w:rPr>
          <w:i/>
          <w:iCs/>
        </w:rPr>
        <w:t xml:space="preserve"> The benefits of each alternative for applicable cases of DCI-based overridden indication are tied with indication option. Therefore, when down-selection decision is made, the indication option should be decided together. </w:t>
      </w:r>
    </w:p>
    <w:p w14:paraId="5FBF9AFA" w14:textId="0DEC647A" w:rsidR="00CB72ED" w:rsidRPr="005C01D3" w:rsidRDefault="00ED342F" w:rsidP="00223747">
      <w:pPr>
        <w:rPr>
          <w:i/>
          <w:iCs/>
        </w:rPr>
      </w:pPr>
      <w:r w:rsidRPr="005C01D3">
        <w:rPr>
          <w:b/>
          <w:bCs/>
          <w:i/>
          <w:iCs/>
        </w:rPr>
        <w:t>Observation 2:</w:t>
      </w:r>
      <w:r w:rsidRPr="005C01D3">
        <w:rPr>
          <w:i/>
          <w:iCs/>
        </w:rPr>
        <w:t xml:space="preserve"> considering that Option 3 only is a possible configuration, Alt-1 doesn’t seem to provide any additional benefit compared to the Option 3 only. On the other hand, the Alt-2 is attractive if existing DCI field is reused as it doesn’t affect to scheduling flexibility. </w:t>
      </w:r>
    </w:p>
    <w:p w14:paraId="500D6EC9" w14:textId="5B28F41F" w:rsidR="00ED342F" w:rsidRPr="005C01D3" w:rsidRDefault="00ED342F" w:rsidP="00223747">
      <w:pPr>
        <w:rPr>
          <w:i/>
          <w:iCs/>
        </w:rPr>
      </w:pPr>
      <w:r w:rsidRPr="005C01D3">
        <w:rPr>
          <w:b/>
          <w:bCs/>
          <w:i/>
          <w:iCs/>
        </w:rPr>
        <w:t>Proposal 1:</w:t>
      </w:r>
      <w:r w:rsidRPr="005C01D3">
        <w:rPr>
          <w:i/>
          <w:iCs/>
        </w:rPr>
        <w:t xml:space="preserve"> </w:t>
      </w:r>
      <w:r w:rsidR="00A0561A" w:rsidRPr="005C01D3">
        <w:rPr>
          <w:i/>
          <w:iCs/>
        </w:rPr>
        <w:t>D</w:t>
      </w:r>
      <w:r w:rsidRPr="005C01D3">
        <w:rPr>
          <w:i/>
          <w:iCs/>
        </w:rPr>
        <w:t>own-selection of alternative</w:t>
      </w:r>
      <w:r w:rsidR="00A0561A" w:rsidRPr="005C01D3">
        <w:rPr>
          <w:i/>
          <w:iCs/>
        </w:rPr>
        <w:t>s for applicable cases</w:t>
      </w:r>
      <w:r w:rsidRPr="005C01D3">
        <w:rPr>
          <w:i/>
          <w:iCs/>
        </w:rPr>
        <w:t xml:space="preserve"> should be done together with</w:t>
      </w:r>
      <w:r w:rsidR="00A0561A" w:rsidRPr="005C01D3">
        <w:rPr>
          <w:i/>
          <w:iCs/>
        </w:rPr>
        <w:t xml:space="preserve"> the down-selection of options for DCI-based overridden/direct indication.</w:t>
      </w:r>
    </w:p>
    <w:p w14:paraId="7E242269" w14:textId="02B6B70D" w:rsidR="00CB72ED" w:rsidRPr="005C01D3" w:rsidRDefault="00ED342F" w:rsidP="00223747">
      <w:pPr>
        <w:rPr>
          <w:i/>
          <w:iCs/>
        </w:rPr>
      </w:pPr>
      <w:r w:rsidRPr="005C01D3">
        <w:rPr>
          <w:b/>
          <w:bCs/>
          <w:i/>
          <w:iCs/>
        </w:rPr>
        <w:t xml:space="preserve">Proposal </w:t>
      </w:r>
      <w:r w:rsidR="00A0561A" w:rsidRPr="005C01D3">
        <w:rPr>
          <w:b/>
          <w:bCs/>
          <w:i/>
          <w:iCs/>
        </w:rPr>
        <w:t>2</w:t>
      </w:r>
      <w:r w:rsidRPr="005C01D3">
        <w:rPr>
          <w:b/>
          <w:bCs/>
          <w:i/>
          <w:iCs/>
        </w:rPr>
        <w:t>:</w:t>
      </w:r>
      <w:r w:rsidRPr="005C01D3">
        <w:rPr>
          <w:i/>
          <w:iCs/>
        </w:rPr>
        <w:t xml:space="preserve"> Support Alt-2 with reusing existing DCI field (i.e., NDI) for DCI-based overridden/direct indication.</w:t>
      </w:r>
    </w:p>
    <w:p w14:paraId="2CCDFFCF" w14:textId="77777777" w:rsidR="00ED342F" w:rsidRDefault="00ED342F" w:rsidP="00223747"/>
    <w:p w14:paraId="0B038625" w14:textId="1EE04640" w:rsidR="00CA1902" w:rsidRDefault="00CA1902" w:rsidP="00F53E33">
      <w:pPr>
        <w:pStyle w:val="Heading2"/>
      </w:pPr>
      <w:r>
        <w:lastRenderedPageBreak/>
        <w:t>Impacts of DCI-based indication to upper layers</w:t>
      </w:r>
    </w:p>
    <w:p w14:paraId="3E10C820" w14:textId="23CB7D3A" w:rsidR="00567B6D" w:rsidRPr="00F53E33" w:rsidRDefault="00973371" w:rsidP="00567B6D">
      <w:pPr>
        <w:rPr>
          <w:rFonts w:cs="Arial"/>
          <w:lang w:val="en-US"/>
        </w:rPr>
      </w:pPr>
      <w:r>
        <w:rPr>
          <w:iCs/>
        </w:rPr>
        <w:t xml:space="preserve">One issue with </w:t>
      </w:r>
      <w:r w:rsidR="00733430">
        <w:rPr>
          <w:iCs/>
        </w:rPr>
        <w:t>a DCI-based override</w:t>
      </w:r>
      <w:r w:rsidR="00EB5326">
        <w:rPr>
          <w:iCs/>
        </w:rPr>
        <w:t xml:space="preserve"> mechanism is an impact to upper layers handling of DRX active time. In Rel-17 NR NTN, </w:t>
      </w:r>
      <w:r w:rsidR="001827BA">
        <w:rPr>
          <w:iCs/>
        </w:rPr>
        <w:t>a</w:t>
      </w:r>
      <w:r w:rsidR="00567B6D" w:rsidRPr="00F53E33">
        <w:rPr>
          <w:rFonts w:cs="Arial"/>
          <w:lang w:val="en-US"/>
        </w:rPr>
        <w:t xml:space="preserve"> UE adapts DRX timers based on the configured HARQ characteristics of a HARQ process. DRX is adapted for both UL and DL to either adapt DRX active time account for additional propagation delay (</w:t>
      </w:r>
      <w:proofErr w:type="gramStart"/>
      <w:r w:rsidR="00567B6D" w:rsidRPr="00F53E33">
        <w:rPr>
          <w:rFonts w:cs="Arial"/>
          <w:lang w:val="en-US"/>
        </w:rPr>
        <w:t>e.g.</w:t>
      </w:r>
      <w:proofErr w:type="gramEnd"/>
      <w:r w:rsidR="00567B6D" w:rsidRPr="00F53E33">
        <w:rPr>
          <w:rFonts w:cs="Arial"/>
          <w:lang w:val="en-US"/>
        </w:rPr>
        <w:t xml:space="preserve"> if HARQ feedback is enabled) or to enable additional UE power saving (e.g. if HARQ feedback is disabled). Operation is adapted as follows:</w:t>
      </w:r>
    </w:p>
    <w:p w14:paraId="65C680CE" w14:textId="05F49DE3" w:rsidR="00567B6D" w:rsidRPr="00567B6D" w:rsidRDefault="00567B6D" w:rsidP="00F53E33">
      <w:pPr>
        <w:numPr>
          <w:ilvl w:val="0"/>
          <w:numId w:val="27"/>
        </w:numPr>
        <w:overflowPunct/>
        <w:autoSpaceDE/>
        <w:autoSpaceDN/>
        <w:adjustRightInd/>
        <w:snapToGrid w:val="0"/>
        <w:spacing w:after="0"/>
        <w:jc w:val="left"/>
        <w:textAlignment w:val="auto"/>
        <w:rPr>
          <w:rFonts w:cs="Arial"/>
          <w:iCs/>
        </w:rPr>
      </w:pPr>
      <w:r w:rsidRPr="00567B6D">
        <w:rPr>
          <w:rFonts w:cs="Arial"/>
          <w:iCs/>
        </w:rPr>
        <w:t xml:space="preserve">if </w:t>
      </w:r>
      <w:proofErr w:type="spellStart"/>
      <w:r w:rsidRPr="00E35BC0">
        <w:rPr>
          <w:rFonts w:cs="Arial"/>
          <w:i/>
        </w:rPr>
        <w:t>downlinkHARQ-FeedbackDisabled</w:t>
      </w:r>
      <w:proofErr w:type="spellEnd"/>
      <w:r w:rsidRPr="00567B6D">
        <w:rPr>
          <w:rFonts w:cs="Arial"/>
          <w:iCs/>
        </w:rPr>
        <w:t xml:space="preserve"> is configured for this serving cell, upon DL reception:</w:t>
      </w:r>
    </w:p>
    <w:p w14:paraId="0B485514" w14:textId="6FEE5B65" w:rsidR="00567B6D" w:rsidRPr="00F53E33" w:rsidRDefault="00567B6D" w:rsidP="00567B6D">
      <w:pPr>
        <w:pStyle w:val="ListParagraph"/>
        <w:numPr>
          <w:ilvl w:val="1"/>
          <w:numId w:val="28"/>
        </w:numPr>
        <w:spacing w:after="0" w:line="240" w:lineRule="auto"/>
        <w:contextualSpacing w:val="0"/>
        <w:rPr>
          <w:rFonts w:ascii="Arial" w:hAnsi="Arial" w:cs="Arial"/>
          <w:sz w:val="20"/>
          <w:szCs w:val="20"/>
        </w:rPr>
      </w:pPr>
      <w:r w:rsidRPr="00F53E33">
        <w:rPr>
          <w:rFonts w:ascii="Arial" w:hAnsi="Arial" w:cs="Arial"/>
          <w:sz w:val="20"/>
          <w:szCs w:val="20"/>
        </w:rPr>
        <w:t>if HARQ feedback is enabled for the HARQ process the UE will extend the length of the DL HARQ RTT Timer by the UE-gNB RTT (</w:t>
      </w:r>
      <w:proofErr w:type="gramStart"/>
      <w:r w:rsidRPr="00F53E33">
        <w:rPr>
          <w:rFonts w:ascii="Arial" w:hAnsi="Arial" w:cs="Arial"/>
          <w:sz w:val="20"/>
          <w:szCs w:val="20"/>
        </w:rPr>
        <w:t>i.e</w:t>
      </w:r>
      <w:r w:rsidR="00FF3C66">
        <w:rPr>
          <w:rFonts w:ascii="Arial" w:hAnsi="Arial" w:cs="Arial"/>
          <w:sz w:val="20"/>
          <w:szCs w:val="20"/>
        </w:rPr>
        <w:t>.</w:t>
      </w:r>
      <w:proofErr w:type="gramEnd"/>
      <w:r w:rsidRPr="00F53E33">
        <w:rPr>
          <w:rFonts w:ascii="Arial" w:hAnsi="Arial" w:cs="Arial"/>
          <w:sz w:val="20"/>
          <w:szCs w:val="20"/>
        </w:rPr>
        <w:t xml:space="preserve"> propagation delay).</w:t>
      </w:r>
    </w:p>
    <w:p w14:paraId="70F48581" w14:textId="77777777" w:rsidR="00567B6D" w:rsidRPr="00F53E33" w:rsidRDefault="00567B6D" w:rsidP="00567B6D">
      <w:pPr>
        <w:pStyle w:val="ListParagraph"/>
        <w:numPr>
          <w:ilvl w:val="1"/>
          <w:numId w:val="28"/>
        </w:numPr>
        <w:spacing w:after="0" w:line="240" w:lineRule="auto"/>
        <w:contextualSpacing w:val="0"/>
        <w:rPr>
          <w:rFonts w:ascii="Arial" w:hAnsi="Arial" w:cs="Arial"/>
          <w:sz w:val="20"/>
          <w:szCs w:val="20"/>
        </w:rPr>
      </w:pPr>
      <w:r w:rsidRPr="00F53E33">
        <w:rPr>
          <w:rFonts w:ascii="Arial" w:hAnsi="Arial" w:cs="Arial"/>
          <w:sz w:val="20"/>
          <w:szCs w:val="20"/>
        </w:rPr>
        <w:t xml:space="preserve">If HARQ feedback is disabled for the HARQ process, the UE will not start </w:t>
      </w:r>
      <w:proofErr w:type="spellStart"/>
      <w:r w:rsidRPr="00F53E33">
        <w:rPr>
          <w:rFonts w:ascii="Arial" w:hAnsi="Arial" w:cs="Arial"/>
          <w:i/>
          <w:iCs/>
          <w:sz w:val="20"/>
          <w:szCs w:val="20"/>
        </w:rPr>
        <w:t>drx-RetransmissionTimerDL</w:t>
      </w:r>
      <w:proofErr w:type="spellEnd"/>
      <w:r w:rsidRPr="00F53E33">
        <w:rPr>
          <w:rFonts w:ascii="Arial" w:hAnsi="Arial" w:cs="Arial"/>
          <w:sz w:val="20"/>
          <w:szCs w:val="20"/>
        </w:rPr>
        <w:t xml:space="preserve"> to enable additional power saving. </w:t>
      </w:r>
    </w:p>
    <w:p w14:paraId="6FB28A44" w14:textId="77777777" w:rsidR="00567B6D" w:rsidRPr="00F53E33" w:rsidRDefault="00567B6D" w:rsidP="00567B6D">
      <w:pPr>
        <w:pStyle w:val="ListParagraph"/>
        <w:numPr>
          <w:ilvl w:val="1"/>
          <w:numId w:val="28"/>
        </w:numPr>
        <w:spacing w:after="0" w:line="240" w:lineRule="auto"/>
        <w:contextualSpacing w:val="0"/>
        <w:rPr>
          <w:rFonts w:ascii="Arial" w:hAnsi="Arial" w:cs="Arial"/>
          <w:sz w:val="20"/>
          <w:szCs w:val="20"/>
        </w:rPr>
      </w:pPr>
      <w:proofErr w:type="gramStart"/>
      <w:r w:rsidRPr="00F53E33">
        <w:rPr>
          <w:rFonts w:ascii="Arial" w:hAnsi="Arial" w:cs="Arial"/>
          <w:sz w:val="20"/>
          <w:szCs w:val="20"/>
        </w:rPr>
        <w:t xml:space="preserve">If  </w:t>
      </w:r>
      <w:proofErr w:type="spellStart"/>
      <w:r w:rsidRPr="00F53E33">
        <w:rPr>
          <w:rFonts w:ascii="Arial" w:hAnsi="Arial" w:cs="Arial"/>
          <w:i/>
          <w:iCs/>
          <w:sz w:val="20"/>
          <w:szCs w:val="20"/>
        </w:rPr>
        <w:t>downlinkHARQ</w:t>
      </w:r>
      <w:proofErr w:type="gramEnd"/>
      <w:r w:rsidRPr="00F53E33">
        <w:rPr>
          <w:rFonts w:ascii="Arial" w:hAnsi="Arial" w:cs="Arial"/>
          <w:i/>
          <w:iCs/>
          <w:sz w:val="20"/>
          <w:szCs w:val="20"/>
        </w:rPr>
        <w:t>-FeedbackDisabled</w:t>
      </w:r>
      <w:proofErr w:type="spellEnd"/>
      <w:r w:rsidRPr="00F53E33">
        <w:rPr>
          <w:rFonts w:ascii="Arial" w:hAnsi="Arial" w:cs="Arial"/>
          <w:sz w:val="20"/>
          <w:szCs w:val="20"/>
        </w:rPr>
        <w:t xml:space="preserve"> is not configured, the UE will apply legacy </w:t>
      </w:r>
      <w:proofErr w:type="spellStart"/>
      <w:r w:rsidRPr="00F53E33">
        <w:rPr>
          <w:rFonts w:ascii="Arial" w:hAnsi="Arial" w:cs="Arial"/>
          <w:sz w:val="20"/>
          <w:szCs w:val="20"/>
        </w:rPr>
        <w:t>behaviour</w:t>
      </w:r>
      <w:proofErr w:type="spellEnd"/>
      <w:r w:rsidRPr="00F53E33">
        <w:rPr>
          <w:rFonts w:ascii="Arial" w:hAnsi="Arial" w:cs="Arial"/>
          <w:sz w:val="20"/>
          <w:szCs w:val="20"/>
        </w:rPr>
        <w:t xml:space="preserve"> (i.e. start </w:t>
      </w:r>
      <w:proofErr w:type="spellStart"/>
      <w:r w:rsidRPr="00F53E33">
        <w:rPr>
          <w:rFonts w:ascii="Arial" w:hAnsi="Arial" w:cs="Arial"/>
          <w:i/>
          <w:iCs/>
          <w:sz w:val="20"/>
          <w:szCs w:val="20"/>
        </w:rPr>
        <w:t>drx-RetransmissionTimerDL</w:t>
      </w:r>
      <w:proofErr w:type="spellEnd"/>
      <w:r w:rsidRPr="00F53E33">
        <w:rPr>
          <w:rFonts w:ascii="Arial" w:hAnsi="Arial" w:cs="Arial"/>
          <w:sz w:val="20"/>
          <w:szCs w:val="20"/>
        </w:rPr>
        <w:t xml:space="preserve"> after expiry of </w:t>
      </w:r>
      <w:proofErr w:type="spellStart"/>
      <w:r w:rsidRPr="00F53E33">
        <w:rPr>
          <w:rFonts w:ascii="Arial" w:hAnsi="Arial" w:cs="Arial"/>
          <w:i/>
          <w:iCs/>
          <w:sz w:val="20"/>
          <w:szCs w:val="20"/>
        </w:rPr>
        <w:t>drx</w:t>
      </w:r>
      <w:proofErr w:type="spellEnd"/>
      <w:r w:rsidRPr="00F53E33">
        <w:rPr>
          <w:rFonts w:ascii="Arial" w:hAnsi="Arial" w:cs="Arial"/>
          <w:i/>
          <w:iCs/>
          <w:sz w:val="20"/>
          <w:szCs w:val="20"/>
        </w:rPr>
        <w:t>-HARQ-RTT-</w:t>
      </w:r>
      <w:proofErr w:type="spellStart"/>
      <w:r w:rsidRPr="00F53E33">
        <w:rPr>
          <w:rFonts w:ascii="Arial" w:hAnsi="Arial" w:cs="Arial"/>
          <w:i/>
          <w:iCs/>
          <w:sz w:val="20"/>
          <w:szCs w:val="20"/>
        </w:rPr>
        <w:t>TimerDL</w:t>
      </w:r>
      <w:proofErr w:type="spellEnd"/>
      <w:r w:rsidRPr="00F53E33">
        <w:rPr>
          <w:rFonts w:ascii="Arial" w:hAnsi="Arial" w:cs="Arial"/>
          <w:sz w:val="20"/>
          <w:szCs w:val="20"/>
        </w:rPr>
        <w:t>).</w:t>
      </w:r>
    </w:p>
    <w:p w14:paraId="5562C5AA" w14:textId="2734865F" w:rsidR="00567B6D" w:rsidRPr="00F53E33" w:rsidRDefault="00567B6D" w:rsidP="00E82E9C">
      <w:pPr>
        <w:rPr>
          <w:iCs/>
          <w:sz w:val="4"/>
          <w:szCs w:val="4"/>
          <w:lang w:val="en-US"/>
        </w:rPr>
      </w:pPr>
    </w:p>
    <w:p w14:paraId="2513A0E9" w14:textId="508FDD48" w:rsidR="00991DCE" w:rsidRPr="00F53E33" w:rsidRDefault="006F2378" w:rsidP="00E82E9C">
      <w:pPr>
        <w:rPr>
          <w:iCs/>
          <w:lang w:val="en-US"/>
        </w:rPr>
      </w:pPr>
      <w:r>
        <w:rPr>
          <w:iCs/>
          <w:lang w:val="en-US"/>
        </w:rPr>
        <w:t xml:space="preserve">If the HARQ </w:t>
      </w:r>
      <w:proofErr w:type="spellStart"/>
      <w:r>
        <w:rPr>
          <w:iCs/>
          <w:lang w:val="en-US"/>
        </w:rPr>
        <w:t>behaviour</w:t>
      </w:r>
      <w:proofErr w:type="spellEnd"/>
      <w:r>
        <w:rPr>
          <w:iCs/>
          <w:lang w:val="en-US"/>
        </w:rPr>
        <w:t xml:space="preserve"> indicated by RRC configuration is modified by a DCI indication, an indication will need to be sen</w:t>
      </w:r>
      <w:r w:rsidR="002474FA">
        <w:rPr>
          <w:iCs/>
          <w:lang w:val="en-US"/>
        </w:rPr>
        <w:t>t</w:t>
      </w:r>
      <w:r>
        <w:rPr>
          <w:iCs/>
          <w:lang w:val="en-US"/>
        </w:rPr>
        <w:t xml:space="preserve"> to upper layers to ensure</w:t>
      </w:r>
      <w:r w:rsidR="003375A8">
        <w:rPr>
          <w:iCs/>
          <w:lang w:val="en-US"/>
        </w:rPr>
        <w:t xml:space="preserve"> correct DRX </w:t>
      </w:r>
      <w:r w:rsidR="00497874">
        <w:rPr>
          <w:iCs/>
          <w:lang w:val="en-US"/>
        </w:rPr>
        <w:t>operation.</w:t>
      </w:r>
    </w:p>
    <w:p w14:paraId="0899C723" w14:textId="32CCC529" w:rsidR="00CA1902" w:rsidRDefault="00CA1902" w:rsidP="00CA1902">
      <w:pPr>
        <w:rPr>
          <w:rFonts w:cs="Arial"/>
          <w:iCs/>
        </w:rPr>
      </w:pPr>
      <w:r w:rsidRPr="00A5621B">
        <w:rPr>
          <w:b/>
          <w:bCs/>
          <w:i/>
          <w:iCs/>
        </w:rPr>
        <w:t xml:space="preserve">Proposal </w:t>
      </w:r>
      <w:r w:rsidR="00A0561A">
        <w:rPr>
          <w:b/>
          <w:bCs/>
          <w:i/>
          <w:iCs/>
        </w:rPr>
        <w:t>3</w:t>
      </w:r>
      <w:r w:rsidRPr="00A5621B">
        <w:rPr>
          <w:b/>
          <w:bCs/>
          <w:i/>
          <w:iCs/>
        </w:rPr>
        <w:t>:</w:t>
      </w:r>
      <w:r w:rsidRPr="00A5621B">
        <w:rPr>
          <w:i/>
          <w:iCs/>
        </w:rPr>
        <w:t xml:space="preserve"> </w:t>
      </w:r>
      <w:r w:rsidR="005E22B0">
        <w:rPr>
          <w:i/>
          <w:iCs/>
        </w:rPr>
        <w:t xml:space="preserve">If </w:t>
      </w:r>
      <w:r w:rsidRPr="00011379">
        <w:rPr>
          <w:rFonts w:cs="Arial"/>
          <w:i/>
        </w:rPr>
        <w:t>Option 3 DCI-based</w:t>
      </w:r>
      <w:r w:rsidR="000771BD">
        <w:rPr>
          <w:rFonts w:cs="Arial"/>
          <w:i/>
        </w:rPr>
        <w:t xml:space="preserve"> </w:t>
      </w:r>
      <w:r w:rsidR="000771BD" w:rsidRPr="00011379">
        <w:rPr>
          <w:rFonts w:cs="Arial"/>
          <w:i/>
        </w:rPr>
        <w:t xml:space="preserve">indicates HARQ enable/disable </w:t>
      </w:r>
      <w:r w:rsidR="000771BD">
        <w:rPr>
          <w:rFonts w:cs="Arial"/>
          <w:i/>
        </w:rPr>
        <w:t xml:space="preserve">(either directly or overriding an RRC configuration) </w:t>
      </w:r>
      <w:r w:rsidR="005F01C4">
        <w:rPr>
          <w:rFonts w:cs="Arial"/>
          <w:i/>
        </w:rPr>
        <w:t>an indication is sent to upper layers (e.g., to adjust DRX operation)</w:t>
      </w:r>
    </w:p>
    <w:p w14:paraId="0B6D7D6F" w14:textId="77777777" w:rsidR="00214E6A" w:rsidRPr="004A1A95" w:rsidRDefault="00214E6A" w:rsidP="00214E6A">
      <w:pPr>
        <w:pStyle w:val="Heading1"/>
      </w:pPr>
      <w:r w:rsidRPr="004A1A95">
        <w:t>Conclusion</w:t>
      </w:r>
    </w:p>
    <w:p w14:paraId="66F0DF76" w14:textId="34A2E93E" w:rsidR="00E013C6" w:rsidRDefault="00214E6A" w:rsidP="00C6277A">
      <w:pPr>
        <w:tabs>
          <w:tab w:val="left" w:pos="0"/>
        </w:tabs>
      </w:pPr>
      <w:r>
        <w:t xml:space="preserve">In this contribution the following </w:t>
      </w:r>
      <w:r w:rsidR="00E80B0C">
        <w:t>observation</w:t>
      </w:r>
      <w:r w:rsidR="00801767">
        <w:t>s</w:t>
      </w:r>
      <w:r w:rsidR="00E80B0C">
        <w:t xml:space="preserve"> and </w:t>
      </w:r>
      <w:r w:rsidR="00EB3A60">
        <w:t>proposal</w:t>
      </w:r>
      <w:r w:rsidR="005C347F">
        <w:t>s</w:t>
      </w:r>
      <w:r>
        <w:t xml:space="preserve"> were made concerning</w:t>
      </w:r>
      <w:r w:rsidR="00EC74D4">
        <w:t xml:space="preserve"> enabling/disabling DL HARQ feedback in IoT NTN</w:t>
      </w:r>
      <w:r w:rsidR="00537AF3">
        <w:t>:</w:t>
      </w:r>
    </w:p>
    <w:p w14:paraId="37C0394B" w14:textId="77777777" w:rsidR="00A0561A" w:rsidRPr="00E62BA2" w:rsidRDefault="00A0561A" w:rsidP="00A0561A">
      <w:pPr>
        <w:spacing w:line="276" w:lineRule="auto"/>
        <w:rPr>
          <w:i/>
          <w:iCs/>
        </w:rPr>
      </w:pPr>
      <w:r w:rsidRPr="00E62BA2">
        <w:rPr>
          <w:b/>
          <w:bCs/>
          <w:i/>
          <w:iCs/>
        </w:rPr>
        <w:t>Observation 1:</w:t>
      </w:r>
      <w:r w:rsidRPr="00E62BA2">
        <w:rPr>
          <w:i/>
          <w:iCs/>
        </w:rPr>
        <w:t xml:space="preserve"> The benefits of each alternative for applicable cases of DCI-based overridden indication are tied with indication option. Therefore, when down-selection decision is made, the indication option should be decided together. </w:t>
      </w:r>
    </w:p>
    <w:p w14:paraId="6462CF3B" w14:textId="77777777" w:rsidR="00A0561A" w:rsidRPr="00E62BA2" w:rsidRDefault="00A0561A" w:rsidP="00A0561A">
      <w:pPr>
        <w:rPr>
          <w:i/>
          <w:iCs/>
        </w:rPr>
      </w:pPr>
      <w:r w:rsidRPr="00E62BA2">
        <w:rPr>
          <w:b/>
          <w:bCs/>
          <w:i/>
          <w:iCs/>
        </w:rPr>
        <w:t>Observation 2:</w:t>
      </w:r>
      <w:r w:rsidRPr="00E62BA2">
        <w:rPr>
          <w:i/>
          <w:iCs/>
        </w:rPr>
        <w:t xml:space="preserve"> considering that Option 3 only is a possible configuration, Alt-1 doesn’t seem to provide any additional benefit compared to the Option 3 only. On the other hand, the Alt-2 is attractive if existing DCI field is reused as it doesn’t affect to scheduling flexibility. </w:t>
      </w:r>
    </w:p>
    <w:p w14:paraId="3DB4F43C" w14:textId="77777777" w:rsidR="00A0561A" w:rsidRPr="00E62BA2" w:rsidRDefault="00A0561A" w:rsidP="00A0561A">
      <w:pPr>
        <w:rPr>
          <w:i/>
          <w:iCs/>
        </w:rPr>
      </w:pPr>
      <w:r w:rsidRPr="00E62BA2">
        <w:rPr>
          <w:b/>
          <w:bCs/>
          <w:i/>
          <w:iCs/>
        </w:rPr>
        <w:t>Proposal 1:</w:t>
      </w:r>
      <w:r w:rsidRPr="00E62BA2">
        <w:rPr>
          <w:i/>
          <w:iCs/>
        </w:rPr>
        <w:t xml:space="preserve"> Down-selection of alternatives for applicable cases should be done together with the down-selection of options for DCI-based overridden/direct indication.</w:t>
      </w:r>
    </w:p>
    <w:p w14:paraId="620A678E" w14:textId="77777777" w:rsidR="00A0561A" w:rsidRPr="00E62BA2" w:rsidRDefault="00A0561A" w:rsidP="00A0561A">
      <w:pPr>
        <w:rPr>
          <w:i/>
          <w:iCs/>
        </w:rPr>
      </w:pPr>
      <w:r w:rsidRPr="00E62BA2">
        <w:rPr>
          <w:b/>
          <w:bCs/>
          <w:i/>
          <w:iCs/>
        </w:rPr>
        <w:t>Proposal 2:</w:t>
      </w:r>
      <w:r w:rsidRPr="00E62BA2">
        <w:rPr>
          <w:i/>
          <w:iCs/>
        </w:rPr>
        <w:t xml:space="preserve"> Support Alt-2 with reusing existing DCI field (i.e., NDI) for DCI-based overridden/direct indication.</w:t>
      </w:r>
    </w:p>
    <w:p w14:paraId="06FF9A46" w14:textId="153D2E7C" w:rsidR="00A97CC6" w:rsidRDefault="00A97CC6" w:rsidP="00A97CC6">
      <w:pPr>
        <w:rPr>
          <w:rFonts w:cs="Arial"/>
          <w:iCs/>
        </w:rPr>
      </w:pPr>
      <w:r w:rsidRPr="00A5621B">
        <w:rPr>
          <w:b/>
          <w:bCs/>
          <w:i/>
          <w:iCs/>
        </w:rPr>
        <w:t xml:space="preserve">Proposal </w:t>
      </w:r>
      <w:r w:rsidR="00A0561A">
        <w:rPr>
          <w:b/>
          <w:bCs/>
          <w:i/>
          <w:iCs/>
        </w:rPr>
        <w:t>3</w:t>
      </w:r>
      <w:r w:rsidRPr="00A5621B">
        <w:rPr>
          <w:b/>
          <w:bCs/>
          <w:i/>
          <w:iCs/>
        </w:rPr>
        <w:t>:</w:t>
      </w:r>
      <w:r w:rsidRPr="00A5621B">
        <w:rPr>
          <w:i/>
          <w:iCs/>
        </w:rPr>
        <w:t xml:space="preserve"> </w:t>
      </w:r>
      <w:r>
        <w:rPr>
          <w:i/>
          <w:iCs/>
        </w:rPr>
        <w:t xml:space="preserve">If </w:t>
      </w:r>
      <w:r w:rsidRPr="00011379">
        <w:rPr>
          <w:rFonts w:cs="Arial"/>
          <w:i/>
        </w:rPr>
        <w:t>Option 3 DCI-based</w:t>
      </w:r>
      <w:r>
        <w:rPr>
          <w:rFonts w:cs="Arial"/>
          <w:i/>
        </w:rPr>
        <w:t xml:space="preserve"> </w:t>
      </w:r>
      <w:r w:rsidRPr="00011379">
        <w:rPr>
          <w:rFonts w:cs="Arial"/>
          <w:i/>
        </w:rPr>
        <w:t xml:space="preserve">indicates HARQ enable/disable </w:t>
      </w:r>
      <w:r>
        <w:rPr>
          <w:rFonts w:cs="Arial"/>
          <w:i/>
        </w:rPr>
        <w:t>(either directly or overriding an RRC configuration) an indication is sent to upper layers (e.g., to adjust DRX operation)</w:t>
      </w:r>
    </w:p>
    <w:p w14:paraId="377E0382" w14:textId="105450B8" w:rsidR="00214E6A" w:rsidRPr="00D90A41" w:rsidRDefault="00214E6A" w:rsidP="00214E6A">
      <w:pPr>
        <w:pStyle w:val="Heading1"/>
      </w:pPr>
      <w:r w:rsidRPr="00D90A41">
        <w:t>References</w:t>
      </w:r>
    </w:p>
    <w:p w14:paraId="4760006B" w14:textId="330480E2" w:rsidR="00672EEA" w:rsidRDefault="0050426B" w:rsidP="002A34C6">
      <w:pPr>
        <w:pStyle w:val="Reference"/>
      </w:pPr>
      <w:r>
        <w:t xml:space="preserve">RP-221806 </w:t>
      </w:r>
      <w:r w:rsidR="00874191">
        <w:t>–</w:t>
      </w:r>
      <w:r>
        <w:t xml:space="preserve"> </w:t>
      </w:r>
      <w:r w:rsidR="00874191">
        <w:t>WID on IoT NTN enhancements</w:t>
      </w:r>
    </w:p>
    <w:p w14:paraId="206F26FC" w14:textId="581CA2C7" w:rsidR="004A130B" w:rsidRPr="00D90A41" w:rsidRDefault="00FE5DCA" w:rsidP="004A130B">
      <w:pPr>
        <w:pStyle w:val="Reference"/>
      </w:pPr>
      <w:r>
        <w:t>RAN1 #</w:t>
      </w:r>
      <w:r w:rsidR="00A0561A">
        <w:t xml:space="preserve">112 </w:t>
      </w:r>
      <w:r>
        <w:t>Chairman’s note</w:t>
      </w:r>
    </w:p>
    <w:sectPr w:rsidR="004A130B" w:rsidRPr="00D90A41">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8FDA4" w14:textId="77777777" w:rsidR="00FB5E2A" w:rsidRDefault="00FB5E2A">
      <w:pPr>
        <w:spacing w:after="0"/>
      </w:pPr>
      <w:r>
        <w:separator/>
      </w:r>
    </w:p>
  </w:endnote>
  <w:endnote w:type="continuationSeparator" w:id="0">
    <w:p w14:paraId="3F9ABD46" w14:textId="77777777" w:rsidR="00FB5E2A" w:rsidRDefault="00FB5E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01746" w14:textId="77777777" w:rsidR="00FB5E2A" w:rsidRDefault="00FB5E2A">
      <w:pPr>
        <w:spacing w:after="0"/>
      </w:pPr>
      <w:r>
        <w:separator/>
      </w:r>
    </w:p>
  </w:footnote>
  <w:footnote w:type="continuationSeparator" w:id="0">
    <w:p w14:paraId="1B28269A" w14:textId="77777777" w:rsidR="00FB5E2A" w:rsidRDefault="00FB5E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8E6722"/>
    <w:multiLevelType w:val="hybridMultilevel"/>
    <w:tmpl w:val="B3FC5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9B82DCB"/>
    <w:multiLevelType w:val="hybridMultilevel"/>
    <w:tmpl w:val="08121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EA2053"/>
    <w:multiLevelType w:val="hybridMultilevel"/>
    <w:tmpl w:val="704CB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EDD2119"/>
    <w:multiLevelType w:val="hybridMultilevel"/>
    <w:tmpl w:val="E16C7AF4"/>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B20A66"/>
    <w:multiLevelType w:val="hybridMultilevel"/>
    <w:tmpl w:val="4078B0A0"/>
    <w:lvl w:ilvl="0" w:tplc="1BB67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B531312"/>
    <w:multiLevelType w:val="hybridMultilevel"/>
    <w:tmpl w:val="C8E8F43E"/>
    <w:lvl w:ilvl="0" w:tplc="F16ED32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0E5EEB"/>
    <w:multiLevelType w:val="hybridMultilevel"/>
    <w:tmpl w:val="7308802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7"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6060C2"/>
    <w:multiLevelType w:val="hybridMultilevel"/>
    <w:tmpl w:val="9EAA5DB8"/>
    <w:lvl w:ilvl="0" w:tplc="360A848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BE0627"/>
    <w:multiLevelType w:val="hybridMultilevel"/>
    <w:tmpl w:val="918E91BC"/>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8C6B9B"/>
    <w:multiLevelType w:val="hybridMultilevel"/>
    <w:tmpl w:val="D0E44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9413DB"/>
    <w:multiLevelType w:val="hybridMultilevel"/>
    <w:tmpl w:val="CD62CEDC"/>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6565A70"/>
    <w:multiLevelType w:val="hybridMultilevel"/>
    <w:tmpl w:val="7D86F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1"/>
  </w:num>
  <w:num w:numId="2" w16cid:durableId="512574993">
    <w:abstractNumId w:val="20"/>
  </w:num>
  <w:num w:numId="3" w16cid:durableId="1637418349">
    <w:abstractNumId w:val="22"/>
  </w:num>
  <w:num w:numId="4" w16cid:durableId="1058475319">
    <w:abstractNumId w:val="5"/>
  </w:num>
  <w:num w:numId="5" w16cid:durableId="1771269068">
    <w:abstractNumId w:val="14"/>
  </w:num>
  <w:num w:numId="6" w16cid:durableId="803544036">
    <w:abstractNumId w:val="0"/>
  </w:num>
  <w:num w:numId="7" w16cid:durableId="1986810630">
    <w:abstractNumId w:val="27"/>
  </w:num>
  <w:num w:numId="8" w16cid:durableId="187917565">
    <w:abstractNumId w:val="28"/>
  </w:num>
  <w:num w:numId="9" w16cid:durableId="649755183">
    <w:abstractNumId w:val="6"/>
  </w:num>
  <w:num w:numId="10" w16cid:durableId="768279806">
    <w:abstractNumId w:val="16"/>
  </w:num>
  <w:num w:numId="11" w16cid:durableId="172113544">
    <w:abstractNumId w:val="10"/>
  </w:num>
  <w:num w:numId="12" w16cid:durableId="1320814565">
    <w:abstractNumId w:val="2"/>
  </w:num>
  <w:num w:numId="13" w16cid:durableId="1849832343">
    <w:abstractNumId w:val="24"/>
  </w:num>
  <w:num w:numId="14" w16cid:durableId="1230384389">
    <w:abstractNumId w:val="19"/>
  </w:num>
  <w:num w:numId="15" w16cid:durableId="714236520">
    <w:abstractNumId w:val="11"/>
  </w:num>
  <w:num w:numId="16" w16cid:durableId="1930849695">
    <w:abstractNumId w:val="18"/>
  </w:num>
  <w:num w:numId="17" w16cid:durableId="1845510200">
    <w:abstractNumId w:val="30"/>
  </w:num>
  <w:num w:numId="18" w16cid:durableId="2013796275">
    <w:abstractNumId w:val="12"/>
  </w:num>
  <w:num w:numId="19" w16cid:durableId="1656379426">
    <w:abstractNumId w:val="17"/>
  </w:num>
  <w:num w:numId="20" w16cid:durableId="692069987">
    <w:abstractNumId w:val="3"/>
  </w:num>
  <w:num w:numId="21" w16cid:durableId="1466124247">
    <w:abstractNumId w:val="23"/>
  </w:num>
  <w:num w:numId="22" w16cid:durableId="1582641372">
    <w:abstractNumId w:val="21"/>
  </w:num>
  <w:num w:numId="23" w16cid:durableId="1511525226">
    <w:abstractNumId w:val="9"/>
  </w:num>
  <w:num w:numId="24" w16cid:durableId="135342397">
    <w:abstractNumId w:val="26"/>
  </w:num>
  <w:num w:numId="25" w16cid:durableId="644549311">
    <w:abstractNumId w:val="4"/>
  </w:num>
  <w:num w:numId="26" w16cid:durableId="1320112310">
    <w:abstractNumId w:val="8"/>
  </w:num>
  <w:num w:numId="27" w16cid:durableId="874806891">
    <w:abstractNumId w:val="13"/>
  </w:num>
  <w:num w:numId="28" w16cid:durableId="1714888247">
    <w:abstractNumId w:val="15"/>
  </w:num>
  <w:num w:numId="29" w16cid:durableId="1208957478">
    <w:abstractNumId w:val="29"/>
  </w:num>
  <w:num w:numId="30" w16cid:durableId="1230307773">
    <w:abstractNumId w:val="25"/>
  </w:num>
  <w:num w:numId="31" w16cid:durableId="17689472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0602"/>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771BD"/>
    <w:rsid w:val="0008037F"/>
    <w:rsid w:val="000804B1"/>
    <w:rsid w:val="000805B2"/>
    <w:rsid w:val="00080C7D"/>
    <w:rsid w:val="000813E1"/>
    <w:rsid w:val="0008162A"/>
    <w:rsid w:val="00082A10"/>
    <w:rsid w:val="0008309F"/>
    <w:rsid w:val="00083D63"/>
    <w:rsid w:val="00084B6E"/>
    <w:rsid w:val="00084C21"/>
    <w:rsid w:val="000858EB"/>
    <w:rsid w:val="000872E6"/>
    <w:rsid w:val="00087327"/>
    <w:rsid w:val="00087755"/>
    <w:rsid w:val="0008793C"/>
    <w:rsid w:val="00087B7C"/>
    <w:rsid w:val="000912BF"/>
    <w:rsid w:val="00091494"/>
    <w:rsid w:val="0009206D"/>
    <w:rsid w:val="00093766"/>
    <w:rsid w:val="00093E22"/>
    <w:rsid w:val="000942F3"/>
    <w:rsid w:val="0009441D"/>
    <w:rsid w:val="00094AE2"/>
    <w:rsid w:val="00094CD4"/>
    <w:rsid w:val="000954D7"/>
    <w:rsid w:val="00095F01"/>
    <w:rsid w:val="00096BA3"/>
    <w:rsid w:val="00097CAF"/>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6FC"/>
    <w:rsid w:val="000C50D2"/>
    <w:rsid w:val="000C5798"/>
    <w:rsid w:val="000C5B54"/>
    <w:rsid w:val="000C684D"/>
    <w:rsid w:val="000C6F14"/>
    <w:rsid w:val="000C7817"/>
    <w:rsid w:val="000D087E"/>
    <w:rsid w:val="000D0A06"/>
    <w:rsid w:val="000D0C42"/>
    <w:rsid w:val="000D1690"/>
    <w:rsid w:val="000D1764"/>
    <w:rsid w:val="000D21BC"/>
    <w:rsid w:val="000D2E0C"/>
    <w:rsid w:val="000D3338"/>
    <w:rsid w:val="000D3BAA"/>
    <w:rsid w:val="000D42E0"/>
    <w:rsid w:val="000D4867"/>
    <w:rsid w:val="000D4DB3"/>
    <w:rsid w:val="000D5383"/>
    <w:rsid w:val="000D64A5"/>
    <w:rsid w:val="000D6E5D"/>
    <w:rsid w:val="000D75B1"/>
    <w:rsid w:val="000E0023"/>
    <w:rsid w:val="000E05C9"/>
    <w:rsid w:val="000E07CB"/>
    <w:rsid w:val="000E18D0"/>
    <w:rsid w:val="000E1F41"/>
    <w:rsid w:val="000E200C"/>
    <w:rsid w:val="000E30ED"/>
    <w:rsid w:val="000E3224"/>
    <w:rsid w:val="000E3680"/>
    <w:rsid w:val="000E3F81"/>
    <w:rsid w:val="000E4048"/>
    <w:rsid w:val="000E45D5"/>
    <w:rsid w:val="000E5884"/>
    <w:rsid w:val="000E5991"/>
    <w:rsid w:val="000E5A2D"/>
    <w:rsid w:val="000E5B7E"/>
    <w:rsid w:val="000E5C5E"/>
    <w:rsid w:val="000E6305"/>
    <w:rsid w:val="000E6BA4"/>
    <w:rsid w:val="000E6E22"/>
    <w:rsid w:val="000E7256"/>
    <w:rsid w:val="000F14BB"/>
    <w:rsid w:val="000F153D"/>
    <w:rsid w:val="000F195C"/>
    <w:rsid w:val="000F1E20"/>
    <w:rsid w:val="000F22B4"/>
    <w:rsid w:val="000F254E"/>
    <w:rsid w:val="000F32CB"/>
    <w:rsid w:val="000F3451"/>
    <w:rsid w:val="000F379C"/>
    <w:rsid w:val="000F3931"/>
    <w:rsid w:val="000F44FF"/>
    <w:rsid w:val="000F6B6D"/>
    <w:rsid w:val="000F6F35"/>
    <w:rsid w:val="000F7AEB"/>
    <w:rsid w:val="00102266"/>
    <w:rsid w:val="00102382"/>
    <w:rsid w:val="001023F4"/>
    <w:rsid w:val="00103F18"/>
    <w:rsid w:val="0010407C"/>
    <w:rsid w:val="00104B73"/>
    <w:rsid w:val="00104ED9"/>
    <w:rsid w:val="00105B05"/>
    <w:rsid w:val="00106798"/>
    <w:rsid w:val="00107820"/>
    <w:rsid w:val="00111A6F"/>
    <w:rsid w:val="0011292B"/>
    <w:rsid w:val="00112AE3"/>
    <w:rsid w:val="00113E4A"/>
    <w:rsid w:val="001148BC"/>
    <w:rsid w:val="00114B25"/>
    <w:rsid w:val="0011548D"/>
    <w:rsid w:val="00115EE5"/>
    <w:rsid w:val="00117370"/>
    <w:rsid w:val="00120B97"/>
    <w:rsid w:val="001217FB"/>
    <w:rsid w:val="00121ED5"/>
    <w:rsid w:val="001222CF"/>
    <w:rsid w:val="00123280"/>
    <w:rsid w:val="00123CFF"/>
    <w:rsid w:val="001246A2"/>
    <w:rsid w:val="00124AD0"/>
    <w:rsid w:val="00124AEB"/>
    <w:rsid w:val="00126705"/>
    <w:rsid w:val="00126ADC"/>
    <w:rsid w:val="00127403"/>
    <w:rsid w:val="00131FE2"/>
    <w:rsid w:val="001330C5"/>
    <w:rsid w:val="0013328F"/>
    <w:rsid w:val="00135001"/>
    <w:rsid w:val="00135433"/>
    <w:rsid w:val="00135637"/>
    <w:rsid w:val="001358D6"/>
    <w:rsid w:val="00136638"/>
    <w:rsid w:val="00136B4E"/>
    <w:rsid w:val="00137485"/>
    <w:rsid w:val="00137BC4"/>
    <w:rsid w:val="0014000A"/>
    <w:rsid w:val="00140EEC"/>
    <w:rsid w:val="001415EA"/>
    <w:rsid w:val="00143787"/>
    <w:rsid w:val="001443E8"/>
    <w:rsid w:val="00145102"/>
    <w:rsid w:val="00146F34"/>
    <w:rsid w:val="001508E0"/>
    <w:rsid w:val="00150AC1"/>
    <w:rsid w:val="00151090"/>
    <w:rsid w:val="0015183D"/>
    <w:rsid w:val="001524D5"/>
    <w:rsid w:val="00154799"/>
    <w:rsid w:val="00154DBA"/>
    <w:rsid w:val="00155464"/>
    <w:rsid w:val="00155BBC"/>
    <w:rsid w:val="00155E4E"/>
    <w:rsid w:val="00156370"/>
    <w:rsid w:val="0015727F"/>
    <w:rsid w:val="001609E3"/>
    <w:rsid w:val="00163319"/>
    <w:rsid w:val="001637C7"/>
    <w:rsid w:val="00163FD2"/>
    <w:rsid w:val="00164A1C"/>
    <w:rsid w:val="00164E12"/>
    <w:rsid w:val="00166085"/>
    <w:rsid w:val="0016623E"/>
    <w:rsid w:val="001668E6"/>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C20"/>
    <w:rsid w:val="00180DF3"/>
    <w:rsid w:val="00180F3D"/>
    <w:rsid w:val="00182356"/>
    <w:rsid w:val="0018236F"/>
    <w:rsid w:val="001827BA"/>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4CFC"/>
    <w:rsid w:val="001C5093"/>
    <w:rsid w:val="001C520A"/>
    <w:rsid w:val="001C5412"/>
    <w:rsid w:val="001C603A"/>
    <w:rsid w:val="001C6392"/>
    <w:rsid w:val="001C6765"/>
    <w:rsid w:val="001C717C"/>
    <w:rsid w:val="001C77EC"/>
    <w:rsid w:val="001C7E3A"/>
    <w:rsid w:val="001D0578"/>
    <w:rsid w:val="001D08F9"/>
    <w:rsid w:val="001D148D"/>
    <w:rsid w:val="001D18F6"/>
    <w:rsid w:val="001D19EC"/>
    <w:rsid w:val="001D28DA"/>
    <w:rsid w:val="001D3F36"/>
    <w:rsid w:val="001D46EB"/>
    <w:rsid w:val="001D4C3A"/>
    <w:rsid w:val="001D5249"/>
    <w:rsid w:val="001D628C"/>
    <w:rsid w:val="001D6AE7"/>
    <w:rsid w:val="001D6D3A"/>
    <w:rsid w:val="001D72AA"/>
    <w:rsid w:val="001D75A9"/>
    <w:rsid w:val="001D768F"/>
    <w:rsid w:val="001D7EE4"/>
    <w:rsid w:val="001D7F2C"/>
    <w:rsid w:val="001E117E"/>
    <w:rsid w:val="001E19CA"/>
    <w:rsid w:val="001E30E5"/>
    <w:rsid w:val="001E50E8"/>
    <w:rsid w:val="001E55BE"/>
    <w:rsid w:val="001E56F0"/>
    <w:rsid w:val="001E5E58"/>
    <w:rsid w:val="001F19E9"/>
    <w:rsid w:val="001F1D39"/>
    <w:rsid w:val="001F2DD3"/>
    <w:rsid w:val="001F330F"/>
    <w:rsid w:val="001F3CD7"/>
    <w:rsid w:val="001F4A6E"/>
    <w:rsid w:val="001F4B81"/>
    <w:rsid w:val="001F4B8E"/>
    <w:rsid w:val="001F51E3"/>
    <w:rsid w:val="001F5B94"/>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478"/>
    <w:rsid w:val="0021076C"/>
    <w:rsid w:val="0021227B"/>
    <w:rsid w:val="002128AD"/>
    <w:rsid w:val="00212AA6"/>
    <w:rsid w:val="00212C40"/>
    <w:rsid w:val="00212D09"/>
    <w:rsid w:val="00213FA4"/>
    <w:rsid w:val="002143FA"/>
    <w:rsid w:val="00214E6A"/>
    <w:rsid w:val="002158EF"/>
    <w:rsid w:val="00217CB7"/>
    <w:rsid w:val="0022126E"/>
    <w:rsid w:val="00221501"/>
    <w:rsid w:val="00221578"/>
    <w:rsid w:val="00221BD7"/>
    <w:rsid w:val="002229EE"/>
    <w:rsid w:val="00223747"/>
    <w:rsid w:val="002240CF"/>
    <w:rsid w:val="00225A04"/>
    <w:rsid w:val="00225B07"/>
    <w:rsid w:val="00225B0D"/>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4FA"/>
    <w:rsid w:val="0024763F"/>
    <w:rsid w:val="00247C60"/>
    <w:rsid w:val="00247D30"/>
    <w:rsid w:val="002502C9"/>
    <w:rsid w:val="00250B8B"/>
    <w:rsid w:val="00251F92"/>
    <w:rsid w:val="002529F4"/>
    <w:rsid w:val="002530B2"/>
    <w:rsid w:val="00253261"/>
    <w:rsid w:val="00254521"/>
    <w:rsid w:val="00254CE1"/>
    <w:rsid w:val="00254F05"/>
    <w:rsid w:val="0025506B"/>
    <w:rsid w:val="00255B1A"/>
    <w:rsid w:val="002565CF"/>
    <w:rsid w:val="002577C0"/>
    <w:rsid w:val="00257E23"/>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5768"/>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8E4"/>
    <w:rsid w:val="00290DE7"/>
    <w:rsid w:val="00291CA8"/>
    <w:rsid w:val="002923B8"/>
    <w:rsid w:val="00292A49"/>
    <w:rsid w:val="00293C07"/>
    <w:rsid w:val="002941F9"/>
    <w:rsid w:val="002946BC"/>
    <w:rsid w:val="002953AD"/>
    <w:rsid w:val="00295ACB"/>
    <w:rsid w:val="002960F9"/>
    <w:rsid w:val="002963A4"/>
    <w:rsid w:val="00296A96"/>
    <w:rsid w:val="00296F1B"/>
    <w:rsid w:val="00297B9A"/>
    <w:rsid w:val="002A07EB"/>
    <w:rsid w:val="002A2050"/>
    <w:rsid w:val="002A2BF3"/>
    <w:rsid w:val="002A2CD9"/>
    <w:rsid w:val="002A3357"/>
    <w:rsid w:val="002A33C5"/>
    <w:rsid w:val="002A34C6"/>
    <w:rsid w:val="002A35BC"/>
    <w:rsid w:val="002A3922"/>
    <w:rsid w:val="002A3C68"/>
    <w:rsid w:val="002A52FB"/>
    <w:rsid w:val="002A5D66"/>
    <w:rsid w:val="002A6EAB"/>
    <w:rsid w:val="002A7132"/>
    <w:rsid w:val="002A7E1B"/>
    <w:rsid w:val="002B1095"/>
    <w:rsid w:val="002B18B7"/>
    <w:rsid w:val="002B3A1A"/>
    <w:rsid w:val="002B4F94"/>
    <w:rsid w:val="002B5810"/>
    <w:rsid w:val="002B5926"/>
    <w:rsid w:val="002B65DD"/>
    <w:rsid w:val="002C0C00"/>
    <w:rsid w:val="002C0FA5"/>
    <w:rsid w:val="002C1220"/>
    <w:rsid w:val="002C1969"/>
    <w:rsid w:val="002C2AA8"/>
    <w:rsid w:val="002C3BAD"/>
    <w:rsid w:val="002C3D8A"/>
    <w:rsid w:val="002C4234"/>
    <w:rsid w:val="002C4C84"/>
    <w:rsid w:val="002C4FDD"/>
    <w:rsid w:val="002C5575"/>
    <w:rsid w:val="002C5906"/>
    <w:rsid w:val="002C6520"/>
    <w:rsid w:val="002C6E1A"/>
    <w:rsid w:val="002C6FC7"/>
    <w:rsid w:val="002C6FF3"/>
    <w:rsid w:val="002C7497"/>
    <w:rsid w:val="002C7954"/>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1B60"/>
    <w:rsid w:val="002E1B77"/>
    <w:rsid w:val="002E3217"/>
    <w:rsid w:val="002E3A86"/>
    <w:rsid w:val="002E3DCA"/>
    <w:rsid w:val="002E4563"/>
    <w:rsid w:val="002E4ECD"/>
    <w:rsid w:val="002E692C"/>
    <w:rsid w:val="002E7372"/>
    <w:rsid w:val="002E7711"/>
    <w:rsid w:val="002E7BD4"/>
    <w:rsid w:val="002E7F7E"/>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4082"/>
    <w:rsid w:val="00304162"/>
    <w:rsid w:val="00304A79"/>
    <w:rsid w:val="00305387"/>
    <w:rsid w:val="003068D1"/>
    <w:rsid w:val="003076B2"/>
    <w:rsid w:val="003077AA"/>
    <w:rsid w:val="00307D7F"/>
    <w:rsid w:val="0031018F"/>
    <w:rsid w:val="0031030C"/>
    <w:rsid w:val="003104C6"/>
    <w:rsid w:val="00310836"/>
    <w:rsid w:val="00311052"/>
    <w:rsid w:val="003112ED"/>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375A8"/>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CF0"/>
    <w:rsid w:val="00363DE9"/>
    <w:rsid w:val="00363F8F"/>
    <w:rsid w:val="003641EB"/>
    <w:rsid w:val="00364202"/>
    <w:rsid w:val="0036529A"/>
    <w:rsid w:val="00365EBF"/>
    <w:rsid w:val="003662EC"/>
    <w:rsid w:val="003663AC"/>
    <w:rsid w:val="003668A7"/>
    <w:rsid w:val="00367410"/>
    <w:rsid w:val="003676E4"/>
    <w:rsid w:val="003707A4"/>
    <w:rsid w:val="00370846"/>
    <w:rsid w:val="00372F6E"/>
    <w:rsid w:val="00373604"/>
    <w:rsid w:val="00373B3C"/>
    <w:rsid w:val="00374FC1"/>
    <w:rsid w:val="00375A5D"/>
    <w:rsid w:val="00375CC6"/>
    <w:rsid w:val="003760E0"/>
    <w:rsid w:val="00376607"/>
    <w:rsid w:val="00376CEC"/>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11"/>
    <w:rsid w:val="003924E9"/>
    <w:rsid w:val="00393711"/>
    <w:rsid w:val="00393FA6"/>
    <w:rsid w:val="00395405"/>
    <w:rsid w:val="003954D7"/>
    <w:rsid w:val="0039571D"/>
    <w:rsid w:val="003961C8"/>
    <w:rsid w:val="00396419"/>
    <w:rsid w:val="00396886"/>
    <w:rsid w:val="0039750E"/>
    <w:rsid w:val="00397862"/>
    <w:rsid w:val="00397E73"/>
    <w:rsid w:val="003A01F2"/>
    <w:rsid w:val="003A1110"/>
    <w:rsid w:val="003A1E6B"/>
    <w:rsid w:val="003A2818"/>
    <w:rsid w:val="003A2C98"/>
    <w:rsid w:val="003A4F40"/>
    <w:rsid w:val="003A57AD"/>
    <w:rsid w:val="003A6F94"/>
    <w:rsid w:val="003A7694"/>
    <w:rsid w:val="003B14DB"/>
    <w:rsid w:val="003B1909"/>
    <w:rsid w:val="003B232D"/>
    <w:rsid w:val="003B23ED"/>
    <w:rsid w:val="003B4860"/>
    <w:rsid w:val="003B6124"/>
    <w:rsid w:val="003B6DD3"/>
    <w:rsid w:val="003B7679"/>
    <w:rsid w:val="003C038E"/>
    <w:rsid w:val="003C0A21"/>
    <w:rsid w:val="003C157F"/>
    <w:rsid w:val="003C2007"/>
    <w:rsid w:val="003C2270"/>
    <w:rsid w:val="003C30B2"/>
    <w:rsid w:val="003C4359"/>
    <w:rsid w:val="003C4E90"/>
    <w:rsid w:val="003C55DA"/>
    <w:rsid w:val="003C7D43"/>
    <w:rsid w:val="003C7DB7"/>
    <w:rsid w:val="003D1CFC"/>
    <w:rsid w:val="003D1F3A"/>
    <w:rsid w:val="003D2007"/>
    <w:rsid w:val="003D2883"/>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487"/>
    <w:rsid w:val="0042455A"/>
    <w:rsid w:val="004248FA"/>
    <w:rsid w:val="004319CD"/>
    <w:rsid w:val="00433AF8"/>
    <w:rsid w:val="00433F58"/>
    <w:rsid w:val="00435F58"/>
    <w:rsid w:val="00436031"/>
    <w:rsid w:val="00436C68"/>
    <w:rsid w:val="00436DFE"/>
    <w:rsid w:val="00437A3C"/>
    <w:rsid w:val="00437F55"/>
    <w:rsid w:val="0044049B"/>
    <w:rsid w:val="00440C2E"/>
    <w:rsid w:val="00442888"/>
    <w:rsid w:val="004432D3"/>
    <w:rsid w:val="00443DC7"/>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4F96"/>
    <w:rsid w:val="00455982"/>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B55"/>
    <w:rsid w:val="00473EB3"/>
    <w:rsid w:val="004741C0"/>
    <w:rsid w:val="00474E8A"/>
    <w:rsid w:val="00476DE0"/>
    <w:rsid w:val="0047752E"/>
    <w:rsid w:val="0048030C"/>
    <w:rsid w:val="0048034F"/>
    <w:rsid w:val="004805E0"/>
    <w:rsid w:val="00481A89"/>
    <w:rsid w:val="00481AEB"/>
    <w:rsid w:val="00481C35"/>
    <w:rsid w:val="0048464E"/>
    <w:rsid w:val="00484A92"/>
    <w:rsid w:val="0048544B"/>
    <w:rsid w:val="004855B4"/>
    <w:rsid w:val="00485B5E"/>
    <w:rsid w:val="004875A8"/>
    <w:rsid w:val="0049138F"/>
    <w:rsid w:val="00491E83"/>
    <w:rsid w:val="00492298"/>
    <w:rsid w:val="004924E0"/>
    <w:rsid w:val="00492BDC"/>
    <w:rsid w:val="00492FB2"/>
    <w:rsid w:val="004931C8"/>
    <w:rsid w:val="00494663"/>
    <w:rsid w:val="00495B5B"/>
    <w:rsid w:val="004961F1"/>
    <w:rsid w:val="00496D2C"/>
    <w:rsid w:val="00497211"/>
    <w:rsid w:val="00497874"/>
    <w:rsid w:val="004A024B"/>
    <w:rsid w:val="004A02DA"/>
    <w:rsid w:val="004A0EA1"/>
    <w:rsid w:val="004A130B"/>
    <w:rsid w:val="004A1807"/>
    <w:rsid w:val="004A25CD"/>
    <w:rsid w:val="004A2C2E"/>
    <w:rsid w:val="004A2FC8"/>
    <w:rsid w:val="004A429F"/>
    <w:rsid w:val="004A47EA"/>
    <w:rsid w:val="004A5DF4"/>
    <w:rsid w:val="004A6A30"/>
    <w:rsid w:val="004A6F17"/>
    <w:rsid w:val="004A75A0"/>
    <w:rsid w:val="004B0297"/>
    <w:rsid w:val="004B0EA1"/>
    <w:rsid w:val="004B168C"/>
    <w:rsid w:val="004B2754"/>
    <w:rsid w:val="004B2D9F"/>
    <w:rsid w:val="004B3451"/>
    <w:rsid w:val="004B3D52"/>
    <w:rsid w:val="004B4A2A"/>
    <w:rsid w:val="004B5683"/>
    <w:rsid w:val="004B5C78"/>
    <w:rsid w:val="004C1623"/>
    <w:rsid w:val="004C2159"/>
    <w:rsid w:val="004C2228"/>
    <w:rsid w:val="004C281E"/>
    <w:rsid w:val="004C5A2D"/>
    <w:rsid w:val="004C5CC9"/>
    <w:rsid w:val="004C6838"/>
    <w:rsid w:val="004C779F"/>
    <w:rsid w:val="004C7C58"/>
    <w:rsid w:val="004D105A"/>
    <w:rsid w:val="004D15ED"/>
    <w:rsid w:val="004D171C"/>
    <w:rsid w:val="004D2467"/>
    <w:rsid w:val="004D3504"/>
    <w:rsid w:val="004D3CC9"/>
    <w:rsid w:val="004D581F"/>
    <w:rsid w:val="004D5BE1"/>
    <w:rsid w:val="004D7FA8"/>
    <w:rsid w:val="004E00F9"/>
    <w:rsid w:val="004E08DF"/>
    <w:rsid w:val="004E2D49"/>
    <w:rsid w:val="004E3A3A"/>
    <w:rsid w:val="004E5533"/>
    <w:rsid w:val="004E7675"/>
    <w:rsid w:val="004E7749"/>
    <w:rsid w:val="004F02BD"/>
    <w:rsid w:val="004F18AE"/>
    <w:rsid w:val="004F20AF"/>
    <w:rsid w:val="004F20F0"/>
    <w:rsid w:val="004F38B1"/>
    <w:rsid w:val="004F3A48"/>
    <w:rsid w:val="004F40B9"/>
    <w:rsid w:val="004F4928"/>
    <w:rsid w:val="004F4C31"/>
    <w:rsid w:val="004F53C8"/>
    <w:rsid w:val="004F5D97"/>
    <w:rsid w:val="005004EA"/>
    <w:rsid w:val="00500E7A"/>
    <w:rsid w:val="0050141D"/>
    <w:rsid w:val="00502944"/>
    <w:rsid w:val="00503C63"/>
    <w:rsid w:val="005040BC"/>
    <w:rsid w:val="0050426B"/>
    <w:rsid w:val="00504909"/>
    <w:rsid w:val="005073D0"/>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CE9"/>
    <w:rsid w:val="00540363"/>
    <w:rsid w:val="00540CE7"/>
    <w:rsid w:val="00541DD8"/>
    <w:rsid w:val="005428B1"/>
    <w:rsid w:val="00543E27"/>
    <w:rsid w:val="00544BEB"/>
    <w:rsid w:val="005456FC"/>
    <w:rsid w:val="00545BF7"/>
    <w:rsid w:val="00545FBF"/>
    <w:rsid w:val="00551165"/>
    <w:rsid w:val="005513CD"/>
    <w:rsid w:val="00551DBC"/>
    <w:rsid w:val="00552C2E"/>
    <w:rsid w:val="00554C02"/>
    <w:rsid w:val="00555492"/>
    <w:rsid w:val="00555C85"/>
    <w:rsid w:val="00556FEA"/>
    <w:rsid w:val="0055721F"/>
    <w:rsid w:val="005600BB"/>
    <w:rsid w:val="005605E9"/>
    <w:rsid w:val="00560653"/>
    <w:rsid w:val="00561864"/>
    <w:rsid w:val="00561992"/>
    <w:rsid w:val="00561EB5"/>
    <w:rsid w:val="005634FD"/>
    <w:rsid w:val="00564301"/>
    <w:rsid w:val="005658A7"/>
    <w:rsid w:val="00566FA9"/>
    <w:rsid w:val="00567238"/>
    <w:rsid w:val="00567B6D"/>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DF1"/>
    <w:rsid w:val="005916C0"/>
    <w:rsid w:val="00591C2F"/>
    <w:rsid w:val="00592292"/>
    <w:rsid w:val="00592308"/>
    <w:rsid w:val="00594119"/>
    <w:rsid w:val="00594A25"/>
    <w:rsid w:val="005958E1"/>
    <w:rsid w:val="005A0A8B"/>
    <w:rsid w:val="005A0F76"/>
    <w:rsid w:val="005A1402"/>
    <w:rsid w:val="005A155D"/>
    <w:rsid w:val="005A195A"/>
    <w:rsid w:val="005A1CA2"/>
    <w:rsid w:val="005A26C3"/>
    <w:rsid w:val="005A43E5"/>
    <w:rsid w:val="005A47A7"/>
    <w:rsid w:val="005A4853"/>
    <w:rsid w:val="005A4C7E"/>
    <w:rsid w:val="005A5731"/>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1D3"/>
    <w:rsid w:val="005C080A"/>
    <w:rsid w:val="005C0F02"/>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7444"/>
    <w:rsid w:val="005D789B"/>
    <w:rsid w:val="005D7FC0"/>
    <w:rsid w:val="005E0294"/>
    <w:rsid w:val="005E0311"/>
    <w:rsid w:val="005E0F77"/>
    <w:rsid w:val="005E100B"/>
    <w:rsid w:val="005E180F"/>
    <w:rsid w:val="005E1FB4"/>
    <w:rsid w:val="005E22B0"/>
    <w:rsid w:val="005E3170"/>
    <w:rsid w:val="005E3847"/>
    <w:rsid w:val="005E38C4"/>
    <w:rsid w:val="005E40AC"/>
    <w:rsid w:val="005E446A"/>
    <w:rsid w:val="005E482B"/>
    <w:rsid w:val="005E520C"/>
    <w:rsid w:val="005E52CA"/>
    <w:rsid w:val="005E5EE4"/>
    <w:rsid w:val="005E677C"/>
    <w:rsid w:val="005E73D2"/>
    <w:rsid w:val="005E758C"/>
    <w:rsid w:val="005F01C4"/>
    <w:rsid w:val="005F0535"/>
    <w:rsid w:val="005F078A"/>
    <w:rsid w:val="005F15E8"/>
    <w:rsid w:val="005F19A7"/>
    <w:rsid w:val="005F19B9"/>
    <w:rsid w:val="005F49A3"/>
    <w:rsid w:val="005F4E02"/>
    <w:rsid w:val="005F576B"/>
    <w:rsid w:val="005F6BF3"/>
    <w:rsid w:val="005F6E42"/>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C30"/>
    <w:rsid w:val="00612CD0"/>
    <w:rsid w:val="00614706"/>
    <w:rsid w:val="0061516A"/>
    <w:rsid w:val="006155EC"/>
    <w:rsid w:val="006155F0"/>
    <w:rsid w:val="006157EF"/>
    <w:rsid w:val="00615857"/>
    <w:rsid w:val="006201E0"/>
    <w:rsid w:val="0062073B"/>
    <w:rsid w:val="006213D5"/>
    <w:rsid w:val="006218A5"/>
    <w:rsid w:val="00622FE6"/>
    <w:rsid w:val="00623616"/>
    <w:rsid w:val="00623D8E"/>
    <w:rsid w:val="0062428D"/>
    <w:rsid w:val="00624B03"/>
    <w:rsid w:val="00624C90"/>
    <w:rsid w:val="006250B3"/>
    <w:rsid w:val="006257BF"/>
    <w:rsid w:val="00626355"/>
    <w:rsid w:val="006263C2"/>
    <w:rsid w:val="00626D42"/>
    <w:rsid w:val="00630352"/>
    <w:rsid w:val="006307BC"/>
    <w:rsid w:val="006320A2"/>
    <w:rsid w:val="006326A5"/>
    <w:rsid w:val="006333C5"/>
    <w:rsid w:val="00633507"/>
    <w:rsid w:val="00633636"/>
    <w:rsid w:val="006350CE"/>
    <w:rsid w:val="00635364"/>
    <w:rsid w:val="006368BD"/>
    <w:rsid w:val="00637DE1"/>
    <w:rsid w:val="006402B7"/>
    <w:rsid w:val="00640849"/>
    <w:rsid w:val="00640F49"/>
    <w:rsid w:val="00641269"/>
    <w:rsid w:val="0064231B"/>
    <w:rsid w:val="00643E13"/>
    <w:rsid w:val="00643F2D"/>
    <w:rsid w:val="0064406B"/>
    <w:rsid w:val="00644409"/>
    <w:rsid w:val="006448CD"/>
    <w:rsid w:val="0064540F"/>
    <w:rsid w:val="00645825"/>
    <w:rsid w:val="00645BBC"/>
    <w:rsid w:val="0064612A"/>
    <w:rsid w:val="00647103"/>
    <w:rsid w:val="00647584"/>
    <w:rsid w:val="00647F06"/>
    <w:rsid w:val="006506DD"/>
    <w:rsid w:val="00651681"/>
    <w:rsid w:val="0065194F"/>
    <w:rsid w:val="0065211F"/>
    <w:rsid w:val="00652DD4"/>
    <w:rsid w:val="00654079"/>
    <w:rsid w:val="00654A3A"/>
    <w:rsid w:val="006559BB"/>
    <w:rsid w:val="00656B0C"/>
    <w:rsid w:val="00657875"/>
    <w:rsid w:val="0066032B"/>
    <w:rsid w:val="00660E23"/>
    <w:rsid w:val="00661149"/>
    <w:rsid w:val="00661446"/>
    <w:rsid w:val="006627CA"/>
    <w:rsid w:val="00662C16"/>
    <w:rsid w:val="00663E7D"/>
    <w:rsid w:val="00664254"/>
    <w:rsid w:val="00664AE4"/>
    <w:rsid w:val="00664D69"/>
    <w:rsid w:val="00665EFC"/>
    <w:rsid w:val="00666580"/>
    <w:rsid w:val="00667978"/>
    <w:rsid w:val="00667FFE"/>
    <w:rsid w:val="00670239"/>
    <w:rsid w:val="00671A17"/>
    <w:rsid w:val="00671C3D"/>
    <w:rsid w:val="00671FF0"/>
    <w:rsid w:val="00672B3B"/>
    <w:rsid w:val="00672E9D"/>
    <w:rsid w:val="00672EEA"/>
    <w:rsid w:val="00673169"/>
    <w:rsid w:val="0067414F"/>
    <w:rsid w:val="006742E1"/>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C1B"/>
    <w:rsid w:val="006843CB"/>
    <w:rsid w:val="0068509D"/>
    <w:rsid w:val="006875FC"/>
    <w:rsid w:val="006902AE"/>
    <w:rsid w:val="0069102C"/>
    <w:rsid w:val="006923A8"/>
    <w:rsid w:val="00693F36"/>
    <w:rsid w:val="00693F63"/>
    <w:rsid w:val="006953DC"/>
    <w:rsid w:val="00695D54"/>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3E50"/>
    <w:rsid w:val="006B4289"/>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6A24"/>
    <w:rsid w:val="006C712C"/>
    <w:rsid w:val="006C7369"/>
    <w:rsid w:val="006C7F58"/>
    <w:rsid w:val="006C7FA6"/>
    <w:rsid w:val="006D1571"/>
    <w:rsid w:val="006D1876"/>
    <w:rsid w:val="006D246E"/>
    <w:rsid w:val="006D384F"/>
    <w:rsid w:val="006D3D61"/>
    <w:rsid w:val="006D45C8"/>
    <w:rsid w:val="006D57D7"/>
    <w:rsid w:val="006D62DE"/>
    <w:rsid w:val="006D6352"/>
    <w:rsid w:val="006D6959"/>
    <w:rsid w:val="006D6CA9"/>
    <w:rsid w:val="006D715A"/>
    <w:rsid w:val="006D7829"/>
    <w:rsid w:val="006D7835"/>
    <w:rsid w:val="006D7903"/>
    <w:rsid w:val="006D7CBB"/>
    <w:rsid w:val="006E041E"/>
    <w:rsid w:val="006E2649"/>
    <w:rsid w:val="006E273D"/>
    <w:rsid w:val="006E30DB"/>
    <w:rsid w:val="006E4AA2"/>
    <w:rsid w:val="006F1379"/>
    <w:rsid w:val="006F2378"/>
    <w:rsid w:val="006F3B99"/>
    <w:rsid w:val="006F4A95"/>
    <w:rsid w:val="006F4C33"/>
    <w:rsid w:val="006F4CC9"/>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F10"/>
    <w:rsid w:val="00712198"/>
    <w:rsid w:val="00712276"/>
    <w:rsid w:val="0071331C"/>
    <w:rsid w:val="0071419C"/>
    <w:rsid w:val="007142B9"/>
    <w:rsid w:val="007144B3"/>
    <w:rsid w:val="007145C8"/>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314F"/>
    <w:rsid w:val="00733430"/>
    <w:rsid w:val="00733580"/>
    <w:rsid w:val="00734D0C"/>
    <w:rsid w:val="0073526E"/>
    <w:rsid w:val="00737355"/>
    <w:rsid w:val="00737E53"/>
    <w:rsid w:val="00741DC0"/>
    <w:rsid w:val="00741EFE"/>
    <w:rsid w:val="00742340"/>
    <w:rsid w:val="0074243D"/>
    <w:rsid w:val="00742BD8"/>
    <w:rsid w:val="007434ED"/>
    <w:rsid w:val="00743880"/>
    <w:rsid w:val="00744118"/>
    <w:rsid w:val="00745CDD"/>
    <w:rsid w:val="00745DBD"/>
    <w:rsid w:val="00745E52"/>
    <w:rsid w:val="00745F36"/>
    <w:rsid w:val="00746ED9"/>
    <w:rsid w:val="00747236"/>
    <w:rsid w:val="00747668"/>
    <w:rsid w:val="007478B9"/>
    <w:rsid w:val="007505C6"/>
    <w:rsid w:val="00750B25"/>
    <w:rsid w:val="00753A51"/>
    <w:rsid w:val="00754505"/>
    <w:rsid w:val="0075496F"/>
    <w:rsid w:val="00756149"/>
    <w:rsid w:val="00756B9A"/>
    <w:rsid w:val="007578A1"/>
    <w:rsid w:val="00757E5A"/>
    <w:rsid w:val="007605E4"/>
    <w:rsid w:val="0076184E"/>
    <w:rsid w:val="007620F1"/>
    <w:rsid w:val="0076210C"/>
    <w:rsid w:val="00763176"/>
    <w:rsid w:val="007632DF"/>
    <w:rsid w:val="00763542"/>
    <w:rsid w:val="00763DB1"/>
    <w:rsid w:val="00764405"/>
    <w:rsid w:val="0076583E"/>
    <w:rsid w:val="00765B0C"/>
    <w:rsid w:val="0076685C"/>
    <w:rsid w:val="00766A77"/>
    <w:rsid w:val="00766B29"/>
    <w:rsid w:val="00766FE6"/>
    <w:rsid w:val="007678FE"/>
    <w:rsid w:val="00770A26"/>
    <w:rsid w:val="00770CC3"/>
    <w:rsid w:val="00771A4A"/>
    <w:rsid w:val="007738C8"/>
    <w:rsid w:val="00774669"/>
    <w:rsid w:val="00775841"/>
    <w:rsid w:val="00775EB5"/>
    <w:rsid w:val="00776C91"/>
    <w:rsid w:val="00777492"/>
    <w:rsid w:val="00777798"/>
    <w:rsid w:val="007778A5"/>
    <w:rsid w:val="0078079B"/>
    <w:rsid w:val="007818F5"/>
    <w:rsid w:val="00781FB3"/>
    <w:rsid w:val="00782864"/>
    <w:rsid w:val="00782C77"/>
    <w:rsid w:val="00782D76"/>
    <w:rsid w:val="0078476B"/>
    <w:rsid w:val="00784E82"/>
    <w:rsid w:val="00784FFB"/>
    <w:rsid w:val="00785D81"/>
    <w:rsid w:val="00786B43"/>
    <w:rsid w:val="00786E88"/>
    <w:rsid w:val="00786FED"/>
    <w:rsid w:val="007879FF"/>
    <w:rsid w:val="007904CC"/>
    <w:rsid w:val="00790653"/>
    <w:rsid w:val="00790FC8"/>
    <w:rsid w:val="007915C6"/>
    <w:rsid w:val="0079164B"/>
    <w:rsid w:val="00791B95"/>
    <w:rsid w:val="00792234"/>
    <w:rsid w:val="007961E5"/>
    <w:rsid w:val="007966C1"/>
    <w:rsid w:val="00797ADB"/>
    <w:rsid w:val="007A0BC6"/>
    <w:rsid w:val="007A0ED7"/>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AC6"/>
    <w:rsid w:val="007B18BB"/>
    <w:rsid w:val="007B1F04"/>
    <w:rsid w:val="007B24AC"/>
    <w:rsid w:val="007B3359"/>
    <w:rsid w:val="007B4675"/>
    <w:rsid w:val="007B494C"/>
    <w:rsid w:val="007B4EAD"/>
    <w:rsid w:val="007B7F79"/>
    <w:rsid w:val="007C06C5"/>
    <w:rsid w:val="007C1974"/>
    <w:rsid w:val="007C2767"/>
    <w:rsid w:val="007C279E"/>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DB7"/>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75D0"/>
    <w:rsid w:val="008075E3"/>
    <w:rsid w:val="00807EF6"/>
    <w:rsid w:val="00810058"/>
    <w:rsid w:val="0081048F"/>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20F"/>
    <w:rsid w:val="00833372"/>
    <w:rsid w:val="0083350C"/>
    <w:rsid w:val="0083457C"/>
    <w:rsid w:val="00834751"/>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027"/>
    <w:rsid w:val="00852657"/>
    <w:rsid w:val="00852EB9"/>
    <w:rsid w:val="00853B46"/>
    <w:rsid w:val="00853ED3"/>
    <w:rsid w:val="0085541A"/>
    <w:rsid w:val="00856F5E"/>
    <w:rsid w:val="0085703E"/>
    <w:rsid w:val="0085777C"/>
    <w:rsid w:val="00861639"/>
    <w:rsid w:val="008618A8"/>
    <w:rsid w:val="00862199"/>
    <w:rsid w:val="0086332B"/>
    <w:rsid w:val="0086556F"/>
    <w:rsid w:val="00870AC0"/>
    <w:rsid w:val="0087309E"/>
    <w:rsid w:val="008730E1"/>
    <w:rsid w:val="0087326A"/>
    <w:rsid w:val="00873478"/>
    <w:rsid w:val="00873873"/>
    <w:rsid w:val="00873BE1"/>
    <w:rsid w:val="00874191"/>
    <w:rsid w:val="00874A14"/>
    <w:rsid w:val="00875166"/>
    <w:rsid w:val="00875D88"/>
    <w:rsid w:val="00876468"/>
    <w:rsid w:val="00876471"/>
    <w:rsid w:val="008764DF"/>
    <w:rsid w:val="00876895"/>
    <w:rsid w:val="008769B8"/>
    <w:rsid w:val="00876AAB"/>
    <w:rsid w:val="00882635"/>
    <w:rsid w:val="00882689"/>
    <w:rsid w:val="00883C2B"/>
    <w:rsid w:val="00883C32"/>
    <w:rsid w:val="00883E3C"/>
    <w:rsid w:val="00885843"/>
    <w:rsid w:val="008859D6"/>
    <w:rsid w:val="008860B5"/>
    <w:rsid w:val="008868FB"/>
    <w:rsid w:val="00886A08"/>
    <w:rsid w:val="00887576"/>
    <w:rsid w:val="00887627"/>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900187"/>
    <w:rsid w:val="00900EB8"/>
    <w:rsid w:val="00900F8E"/>
    <w:rsid w:val="00900FF9"/>
    <w:rsid w:val="009010EA"/>
    <w:rsid w:val="00901888"/>
    <w:rsid w:val="00901FB9"/>
    <w:rsid w:val="0090273E"/>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27A4"/>
    <w:rsid w:val="00932C8D"/>
    <w:rsid w:val="009339C3"/>
    <w:rsid w:val="009341A7"/>
    <w:rsid w:val="009348B6"/>
    <w:rsid w:val="0093539A"/>
    <w:rsid w:val="009359E3"/>
    <w:rsid w:val="00935C3C"/>
    <w:rsid w:val="00937B63"/>
    <w:rsid w:val="00940663"/>
    <w:rsid w:val="00940696"/>
    <w:rsid w:val="00940B13"/>
    <w:rsid w:val="00940B67"/>
    <w:rsid w:val="00940E51"/>
    <w:rsid w:val="00941921"/>
    <w:rsid w:val="00942192"/>
    <w:rsid w:val="009423E4"/>
    <w:rsid w:val="0094378E"/>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36F"/>
    <w:rsid w:val="00971676"/>
    <w:rsid w:val="0097277A"/>
    <w:rsid w:val="009727D5"/>
    <w:rsid w:val="00972F37"/>
    <w:rsid w:val="009732B8"/>
    <w:rsid w:val="00973371"/>
    <w:rsid w:val="00973AC8"/>
    <w:rsid w:val="00974F0F"/>
    <w:rsid w:val="00975A2D"/>
    <w:rsid w:val="00976213"/>
    <w:rsid w:val="00976381"/>
    <w:rsid w:val="0097763C"/>
    <w:rsid w:val="00977ACC"/>
    <w:rsid w:val="00977B50"/>
    <w:rsid w:val="009801B0"/>
    <w:rsid w:val="00980885"/>
    <w:rsid w:val="0098143A"/>
    <w:rsid w:val="00981746"/>
    <w:rsid w:val="00981AEE"/>
    <w:rsid w:val="00985A06"/>
    <w:rsid w:val="00985AB6"/>
    <w:rsid w:val="00985ADC"/>
    <w:rsid w:val="00987531"/>
    <w:rsid w:val="009906B0"/>
    <w:rsid w:val="00990775"/>
    <w:rsid w:val="00990921"/>
    <w:rsid w:val="0099095E"/>
    <w:rsid w:val="009917BC"/>
    <w:rsid w:val="00991DCE"/>
    <w:rsid w:val="009924EE"/>
    <w:rsid w:val="0099357D"/>
    <w:rsid w:val="00993793"/>
    <w:rsid w:val="0099461A"/>
    <w:rsid w:val="00994C71"/>
    <w:rsid w:val="00994DD6"/>
    <w:rsid w:val="009958DC"/>
    <w:rsid w:val="009974BE"/>
    <w:rsid w:val="009A0E16"/>
    <w:rsid w:val="009A12D2"/>
    <w:rsid w:val="009A266D"/>
    <w:rsid w:val="009A352D"/>
    <w:rsid w:val="009A3B85"/>
    <w:rsid w:val="009A48E0"/>
    <w:rsid w:val="009A4C82"/>
    <w:rsid w:val="009A4C9D"/>
    <w:rsid w:val="009A666A"/>
    <w:rsid w:val="009B04AB"/>
    <w:rsid w:val="009B0541"/>
    <w:rsid w:val="009B0548"/>
    <w:rsid w:val="009B115F"/>
    <w:rsid w:val="009B12C2"/>
    <w:rsid w:val="009B16A5"/>
    <w:rsid w:val="009B1BAF"/>
    <w:rsid w:val="009B2788"/>
    <w:rsid w:val="009B4B13"/>
    <w:rsid w:val="009B52B8"/>
    <w:rsid w:val="009B537D"/>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5C5D"/>
    <w:rsid w:val="009C6337"/>
    <w:rsid w:val="009C6A36"/>
    <w:rsid w:val="009C71D5"/>
    <w:rsid w:val="009C7A2D"/>
    <w:rsid w:val="009C7B97"/>
    <w:rsid w:val="009D1286"/>
    <w:rsid w:val="009D1649"/>
    <w:rsid w:val="009D1A15"/>
    <w:rsid w:val="009D1DFE"/>
    <w:rsid w:val="009D27EA"/>
    <w:rsid w:val="009D2D2D"/>
    <w:rsid w:val="009D5CF3"/>
    <w:rsid w:val="009D5DF2"/>
    <w:rsid w:val="009D64A6"/>
    <w:rsid w:val="009D6D83"/>
    <w:rsid w:val="009D6DCA"/>
    <w:rsid w:val="009D79DD"/>
    <w:rsid w:val="009E05A7"/>
    <w:rsid w:val="009E0E02"/>
    <w:rsid w:val="009E1CD8"/>
    <w:rsid w:val="009E22B5"/>
    <w:rsid w:val="009E35C5"/>
    <w:rsid w:val="009E3624"/>
    <w:rsid w:val="009E36AA"/>
    <w:rsid w:val="009E39C1"/>
    <w:rsid w:val="009E3BD9"/>
    <w:rsid w:val="009E53AA"/>
    <w:rsid w:val="009F0628"/>
    <w:rsid w:val="009F0CBF"/>
    <w:rsid w:val="009F1F50"/>
    <w:rsid w:val="009F3AAF"/>
    <w:rsid w:val="009F4B6F"/>
    <w:rsid w:val="009F59E7"/>
    <w:rsid w:val="009F5A9B"/>
    <w:rsid w:val="009F7BB0"/>
    <w:rsid w:val="00A004A0"/>
    <w:rsid w:val="00A00768"/>
    <w:rsid w:val="00A00DA0"/>
    <w:rsid w:val="00A01BA0"/>
    <w:rsid w:val="00A01DE2"/>
    <w:rsid w:val="00A04386"/>
    <w:rsid w:val="00A0452A"/>
    <w:rsid w:val="00A04786"/>
    <w:rsid w:val="00A04BA5"/>
    <w:rsid w:val="00A051B3"/>
    <w:rsid w:val="00A0561A"/>
    <w:rsid w:val="00A057D5"/>
    <w:rsid w:val="00A05FA7"/>
    <w:rsid w:val="00A05FF0"/>
    <w:rsid w:val="00A1023C"/>
    <w:rsid w:val="00A109DF"/>
    <w:rsid w:val="00A134E8"/>
    <w:rsid w:val="00A1350D"/>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2264"/>
    <w:rsid w:val="00A336AE"/>
    <w:rsid w:val="00A336BB"/>
    <w:rsid w:val="00A34116"/>
    <w:rsid w:val="00A342E5"/>
    <w:rsid w:val="00A34774"/>
    <w:rsid w:val="00A3510A"/>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4E80"/>
    <w:rsid w:val="00A558B2"/>
    <w:rsid w:val="00A5600E"/>
    <w:rsid w:val="00A5621B"/>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4F96"/>
    <w:rsid w:val="00A75F60"/>
    <w:rsid w:val="00A807A3"/>
    <w:rsid w:val="00A807A8"/>
    <w:rsid w:val="00A8082B"/>
    <w:rsid w:val="00A82308"/>
    <w:rsid w:val="00A82F32"/>
    <w:rsid w:val="00A83739"/>
    <w:rsid w:val="00A866CA"/>
    <w:rsid w:val="00A86F95"/>
    <w:rsid w:val="00A87A58"/>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CC6"/>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5B3"/>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62B"/>
    <w:rsid w:val="00AC16BE"/>
    <w:rsid w:val="00AC1B18"/>
    <w:rsid w:val="00AC1F30"/>
    <w:rsid w:val="00AC211F"/>
    <w:rsid w:val="00AC2240"/>
    <w:rsid w:val="00AC3ACA"/>
    <w:rsid w:val="00AC420D"/>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E77B9"/>
    <w:rsid w:val="00AF0279"/>
    <w:rsid w:val="00AF042C"/>
    <w:rsid w:val="00AF0E9A"/>
    <w:rsid w:val="00AF12D9"/>
    <w:rsid w:val="00AF1DD2"/>
    <w:rsid w:val="00AF1FB3"/>
    <w:rsid w:val="00AF4625"/>
    <w:rsid w:val="00AF4A7C"/>
    <w:rsid w:val="00AF5F44"/>
    <w:rsid w:val="00AF6246"/>
    <w:rsid w:val="00AF645E"/>
    <w:rsid w:val="00AF6981"/>
    <w:rsid w:val="00AF7651"/>
    <w:rsid w:val="00AF7D60"/>
    <w:rsid w:val="00B026FE"/>
    <w:rsid w:val="00B02B14"/>
    <w:rsid w:val="00B05956"/>
    <w:rsid w:val="00B05C9F"/>
    <w:rsid w:val="00B061EE"/>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3A7D"/>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147C"/>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2AA"/>
    <w:rsid w:val="00B64C98"/>
    <w:rsid w:val="00B657B7"/>
    <w:rsid w:val="00B65900"/>
    <w:rsid w:val="00B65BDC"/>
    <w:rsid w:val="00B66220"/>
    <w:rsid w:val="00B66CEE"/>
    <w:rsid w:val="00B67FCC"/>
    <w:rsid w:val="00B703F2"/>
    <w:rsid w:val="00B70415"/>
    <w:rsid w:val="00B707C9"/>
    <w:rsid w:val="00B719A6"/>
    <w:rsid w:val="00B71B10"/>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A0552"/>
    <w:rsid w:val="00BA1249"/>
    <w:rsid w:val="00BA21A2"/>
    <w:rsid w:val="00BA30F1"/>
    <w:rsid w:val="00BA3A2F"/>
    <w:rsid w:val="00BA4389"/>
    <w:rsid w:val="00BA5171"/>
    <w:rsid w:val="00BA52F3"/>
    <w:rsid w:val="00BA5861"/>
    <w:rsid w:val="00BA5A8B"/>
    <w:rsid w:val="00BA5ACE"/>
    <w:rsid w:val="00BA6D8B"/>
    <w:rsid w:val="00BB013F"/>
    <w:rsid w:val="00BB0C5A"/>
    <w:rsid w:val="00BB1A09"/>
    <w:rsid w:val="00BB1B9A"/>
    <w:rsid w:val="00BB295B"/>
    <w:rsid w:val="00BB2DD5"/>
    <w:rsid w:val="00BB38BB"/>
    <w:rsid w:val="00BB581B"/>
    <w:rsid w:val="00BB63B2"/>
    <w:rsid w:val="00BB7225"/>
    <w:rsid w:val="00BB7E59"/>
    <w:rsid w:val="00BB7E95"/>
    <w:rsid w:val="00BC07C3"/>
    <w:rsid w:val="00BC09C6"/>
    <w:rsid w:val="00BC0B9E"/>
    <w:rsid w:val="00BC1B4A"/>
    <w:rsid w:val="00BC1DCE"/>
    <w:rsid w:val="00BC20A3"/>
    <w:rsid w:val="00BC2799"/>
    <w:rsid w:val="00BC2AA3"/>
    <w:rsid w:val="00BC2F3C"/>
    <w:rsid w:val="00BC3CD3"/>
    <w:rsid w:val="00BC65B8"/>
    <w:rsid w:val="00BC7257"/>
    <w:rsid w:val="00BC7A31"/>
    <w:rsid w:val="00BD009E"/>
    <w:rsid w:val="00BD07EF"/>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E1698"/>
    <w:rsid w:val="00BE1A44"/>
    <w:rsid w:val="00BE1C04"/>
    <w:rsid w:val="00BE3057"/>
    <w:rsid w:val="00BE534D"/>
    <w:rsid w:val="00BE5722"/>
    <w:rsid w:val="00BE5C3B"/>
    <w:rsid w:val="00BE6109"/>
    <w:rsid w:val="00BE61E9"/>
    <w:rsid w:val="00BE6221"/>
    <w:rsid w:val="00BE726A"/>
    <w:rsid w:val="00BE73F2"/>
    <w:rsid w:val="00BF0444"/>
    <w:rsid w:val="00BF10E7"/>
    <w:rsid w:val="00BF1A34"/>
    <w:rsid w:val="00BF1FDC"/>
    <w:rsid w:val="00BF30BE"/>
    <w:rsid w:val="00BF30CA"/>
    <w:rsid w:val="00BF40A8"/>
    <w:rsid w:val="00BF48F1"/>
    <w:rsid w:val="00BF5947"/>
    <w:rsid w:val="00BF5B8A"/>
    <w:rsid w:val="00BF67B8"/>
    <w:rsid w:val="00BF713D"/>
    <w:rsid w:val="00BF7866"/>
    <w:rsid w:val="00BF7C3D"/>
    <w:rsid w:val="00C00DC6"/>
    <w:rsid w:val="00C01B53"/>
    <w:rsid w:val="00C02082"/>
    <w:rsid w:val="00C02132"/>
    <w:rsid w:val="00C03245"/>
    <w:rsid w:val="00C03C7E"/>
    <w:rsid w:val="00C04E35"/>
    <w:rsid w:val="00C04E5F"/>
    <w:rsid w:val="00C0677B"/>
    <w:rsid w:val="00C116C8"/>
    <w:rsid w:val="00C118B4"/>
    <w:rsid w:val="00C12782"/>
    <w:rsid w:val="00C12AD6"/>
    <w:rsid w:val="00C12EF2"/>
    <w:rsid w:val="00C135C5"/>
    <w:rsid w:val="00C13FCD"/>
    <w:rsid w:val="00C14B84"/>
    <w:rsid w:val="00C1522C"/>
    <w:rsid w:val="00C15EDA"/>
    <w:rsid w:val="00C164F7"/>
    <w:rsid w:val="00C205D9"/>
    <w:rsid w:val="00C20B59"/>
    <w:rsid w:val="00C22102"/>
    <w:rsid w:val="00C2292D"/>
    <w:rsid w:val="00C22BFF"/>
    <w:rsid w:val="00C22DC1"/>
    <w:rsid w:val="00C232BE"/>
    <w:rsid w:val="00C243C0"/>
    <w:rsid w:val="00C24FB4"/>
    <w:rsid w:val="00C2582C"/>
    <w:rsid w:val="00C265DF"/>
    <w:rsid w:val="00C3072C"/>
    <w:rsid w:val="00C308C2"/>
    <w:rsid w:val="00C31944"/>
    <w:rsid w:val="00C323DE"/>
    <w:rsid w:val="00C32DB2"/>
    <w:rsid w:val="00C355AC"/>
    <w:rsid w:val="00C376A9"/>
    <w:rsid w:val="00C40F19"/>
    <w:rsid w:val="00C421E4"/>
    <w:rsid w:val="00C439D9"/>
    <w:rsid w:val="00C4496F"/>
    <w:rsid w:val="00C44CDD"/>
    <w:rsid w:val="00C457DE"/>
    <w:rsid w:val="00C5021B"/>
    <w:rsid w:val="00C503AC"/>
    <w:rsid w:val="00C510BC"/>
    <w:rsid w:val="00C51D7F"/>
    <w:rsid w:val="00C52554"/>
    <w:rsid w:val="00C52978"/>
    <w:rsid w:val="00C53A98"/>
    <w:rsid w:val="00C5502C"/>
    <w:rsid w:val="00C55081"/>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71ACC"/>
    <w:rsid w:val="00C72393"/>
    <w:rsid w:val="00C72B07"/>
    <w:rsid w:val="00C73B2D"/>
    <w:rsid w:val="00C761BC"/>
    <w:rsid w:val="00C76971"/>
    <w:rsid w:val="00C76B4B"/>
    <w:rsid w:val="00C770DE"/>
    <w:rsid w:val="00C80155"/>
    <w:rsid w:val="00C80452"/>
    <w:rsid w:val="00C80584"/>
    <w:rsid w:val="00C80B7A"/>
    <w:rsid w:val="00C81C57"/>
    <w:rsid w:val="00C8238F"/>
    <w:rsid w:val="00C83238"/>
    <w:rsid w:val="00C83B7E"/>
    <w:rsid w:val="00C83BB2"/>
    <w:rsid w:val="00C83BFC"/>
    <w:rsid w:val="00C86E6F"/>
    <w:rsid w:val="00C8702E"/>
    <w:rsid w:val="00C87867"/>
    <w:rsid w:val="00C91582"/>
    <w:rsid w:val="00C915C4"/>
    <w:rsid w:val="00C91E6F"/>
    <w:rsid w:val="00C91F84"/>
    <w:rsid w:val="00C95A4D"/>
    <w:rsid w:val="00C96179"/>
    <w:rsid w:val="00C97FC5"/>
    <w:rsid w:val="00CA0A5F"/>
    <w:rsid w:val="00CA0E63"/>
    <w:rsid w:val="00CA0E97"/>
    <w:rsid w:val="00CA1641"/>
    <w:rsid w:val="00CA1729"/>
    <w:rsid w:val="00CA1902"/>
    <w:rsid w:val="00CA23B0"/>
    <w:rsid w:val="00CA2A43"/>
    <w:rsid w:val="00CA335E"/>
    <w:rsid w:val="00CA3669"/>
    <w:rsid w:val="00CA5232"/>
    <w:rsid w:val="00CA57F7"/>
    <w:rsid w:val="00CA59DD"/>
    <w:rsid w:val="00CA6364"/>
    <w:rsid w:val="00CA69EA"/>
    <w:rsid w:val="00CB07BE"/>
    <w:rsid w:val="00CB0BF1"/>
    <w:rsid w:val="00CB20D2"/>
    <w:rsid w:val="00CB2A68"/>
    <w:rsid w:val="00CB316F"/>
    <w:rsid w:val="00CB3254"/>
    <w:rsid w:val="00CB32E9"/>
    <w:rsid w:val="00CB3910"/>
    <w:rsid w:val="00CB414F"/>
    <w:rsid w:val="00CB4522"/>
    <w:rsid w:val="00CB4FF5"/>
    <w:rsid w:val="00CB72B0"/>
    <w:rsid w:val="00CB72ED"/>
    <w:rsid w:val="00CC006D"/>
    <w:rsid w:val="00CC0630"/>
    <w:rsid w:val="00CC1EAB"/>
    <w:rsid w:val="00CC22A1"/>
    <w:rsid w:val="00CC2758"/>
    <w:rsid w:val="00CC3042"/>
    <w:rsid w:val="00CC3E9C"/>
    <w:rsid w:val="00CC413F"/>
    <w:rsid w:val="00CC525B"/>
    <w:rsid w:val="00CC599E"/>
    <w:rsid w:val="00CC6B55"/>
    <w:rsid w:val="00CC7F60"/>
    <w:rsid w:val="00CD05AE"/>
    <w:rsid w:val="00CD0685"/>
    <w:rsid w:val="00CD2CD7"/>
    <w:rsid w:val="00CD380F"/>
    <w:rsid w:val="00CD493E"/>
    <w:rsid w:val="00CD4A8E"/>
    <w:rsid w:val="00CD556B"/>
    <w:rsid w:val="00CD6F09"/>
    <w:rsid w:val="00CE0619"/>
    <w:rsid w:val="00CE1312"/>
    <w:rsid w:val="00CE14B6"/>
    <w:rsid w:val="00CE29F7"/>
    <w:rsid w:val="00CE2C47"/>
    <w:rsid w:val="00CE30A9"/>
    <w:rsid w:val="00CE42A4"/>
    <w:rsid w:val="00CE4300"/>
    <w:rsid w:val="00CE4630"/>
    <w:rsid w:val="00CE5C2B"/>
    <w:rsid w:val="00CE6194"/>
    <w:rsid w:val="00CE6257"/>
    <w:rsid w:val="00CE66CC"/>
    <w:rsid w:val="00CE66CE"/>
    <w:rsid w:val="00CE6FEA"/>
    <w:rsid w:val="00CE702C"/>
    <w:rsid w:val="00CE73CF"/>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5453"/>
    <w:rsid w:val="00D05B0B"/>
    <w:rsid w:val="00D063AD"/>
    <w:rsid w:val="00D06435"/>
    <w:rsid w:val="00D06D4F"/>
    <w:rsid w:val="00D102EC"/>
    <w:rsid w:val="00D11247"/>
    <w:rsid w:val="00D114E2"/>
    <w:rsid w:val="00D12309"/>
    <w:rsid w:val="00D12788"/>
    <w:rsid w:val="00D13D6D"/>
    <w:rsid w:val="00D13DFE"/>
    <w:rsid w:val="00D14DBD"/>
    <w:rsid w:val="00D15530"/>
    <w:rsid w:val="00D16308"/>
    <w:rsid w:val="00D172E6"/>
    <w:rsid w:val="00D2056B"/>
    <w:rsid w:val="00D214E6"/>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42C"/>
    <w:rsid w:val="00D47DAF"/>
    <w:rsid w:val="00D5008B"/>
    <w:rsid w:val="00D50337"/>
    <w:rsid w:val="00D50CF3"/>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B01"/>
    <w:rsid w:val="00D83BBA"/>
    <w:rsid w:val="00D84C2E"/>
    <w:rsid w:val="00D85584"/>
    <w:rsid w:val="00D858B6"/>
    <w:rsid w:val="00D86867"/>
    <w:rsid w:val="00D90A41"/>
    <w:rsid w:val="00D90F57"/>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CE"/>
    <w:rsid w:val="00DA50B8"/>
    <w:rsid w:val="00DA528A"/>
    <w:rsid w:val="00DA5D62"/>
    <w:rsid w:val="00DA68C7"/>
    <w:rsid w:val="00DA7097"/>
    <w:rsid w:val="00DB0A4C"/>
    <w:rsid w:val="00DB1C6B"/>
    <w:rsid w:val="00DB2862"/>
    <w:rsid w:val="00DB3671"/>
    <w:rsid w:val="00DB399D"/>
    <w:rsid w:val="00DB5942"/>
    <w:rsid w:val="00DB7F1C"/>
    <w:rsid w:val="00DC0ADF"/>
    <w:rsid w:val="00DC19B8"/>
    <w:rsid w:val="00DC267A"/>
    <w:rsid w:val="00DC2C71"/>
    <w:rsid w:val="00DC2CAC"/>
    <w:rsid w:val="00DC54D1"/>
    <w:rsid w:val="00DC5898"/>
    <w:rsid w:val="00DC625A"/>
    <w:rsid w:val="00DC62C5"/>
    <w:rsid w:val="00DC68AB"/>
    <w:rsid w:val="00DC72F0"/>
    <w:rsid w:val="00DD0BBC"/>
    <w:rsid w:val="00DD16D1"/>
    <w:rsid w:val="00DD2CB8"/>
    <w:rsid w:val="00DD3D32"/>
    <w:rsid w:val="00DD40A3"/>
    <w:rsid w:val="00DD51A6"/>
    <w:rsid w:val="00DD54EF"/>
    <w:rsid w:val="00DD614C"/>
    <w:rsid w:val="00DD72DA"/>
    <w:rsid w:val="00DD7595"/>
    <w:rsid w:val="00DE0203"/>
    <w:rsid w:val="00DE07F5"/>
    <w:rsid w:val="00DE08D5"/>
    <w:rsid w:val="00DE2A4E"/>
    <w:rsid w:val="00DE4BD5"/>
    <w:rsid w:val="00DE5889"/>
    <w:rsid w:val="00DE5AFD"/>
    <w:rsid w:val="00DE5D07"/>
    <w:rsid w:val="00DE7ACB"/>
    <w:rsid w:val="00DF0BDD"/>
    <w:rsid w:val="00DF0D2E"/>
    <w:rsid w:val="00DF19FA"/>
    <w:rsid w:val="00DF25A5"/>
    <w:rsid w:val="00DF2D46"/>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1EE"/>
    <w:rsid w:val="00E074AD"/>
    <w:rsid w:val="00E07F1A"/>
    <w:rsid w:val="00E10AC8"/>
    <w:rsid w:val="00E1140A"/>
    <w:rsid w:val="00E119A6"/>
    <w:rsid w:val="00E13ACC"/>
    <w:rsid w:val="00E155BE"/>
    <w:rsid w:val="00E157C9"/>
    <w:rsid w:val="00E16042"/>
    <w:rsid w:val="00E16BA3"/>
    <w:rsid w:val="00E177FF"/>
    <w:rsid w:val="00E17BEF"/>
    <w:rsid w:val="00E17DC2"/>
    <w:rsid w:val="00E20A0C"/>
    <w:rsid w:val="00E21656"/>
    <w:rsid w:val="00E21949"/>
    <w:rsid w:val="00E21FA4"/>
    <w:rsid w:val="00E225AC"/>
    <w:rsid w:val="00E227D7"/>
    <w:rsid w:val="00E230EE"/>
    <w:rsid w:val="00E23CCD"/>
    <w:rsid w:val="00E247A8"/>
    <w:rsid w:val="00E253E6"/>
    <w:rsid w:val="00E26978"/>
    <w:rsid w:val="00E26BC9"/>
    <w:rsid w:val="00E27A5E"/>
    <w:rsid w:val="00E31088"/>
    <w:rsid w:val="00E322C7"/>
    <w:rsid w:val="00E3238A"/>
    <w:rsid w:val="00E32FD8"/>
    <w:rsid w:val="00E331AF"/>
    <w:rsid w:val="00E33943"/>
    <w:rsid w:val="00E34872"/>
    <w:rsid w:val="00E35BC0"/>
    <w:rsid w:val="00E36AD3"/>
    <w:rsid w:val="00E36DCE"/>
    <w:rsid w:val="00E371D7"/>
    <w:rsid w:val="00E37B31"/>
    <w:rsid w:val="00E40D6F"/>
    <w:rsid w:val="00E41503"/>
    <w:rsid w:val="00E4283E"/>
    <w:rsid w:val="00E4286A"/>
    <w:rsid w:val="00E42985"/>
    <w:rsid w:val="00E42ACF"/>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2E9C"/>
    <w:rsid w:val="00E8535D"/>
    <w:rsid w:val="00E875F7"/>
    <w:rsid w:val="00E87B5F"/>
    <w:rsid w:val="00E900A1"/>
    <w:rsid w:val="00E90757"/>
    <w:rsid w:val="00E90BBD"/>
    <w:rsid w:val="00E91D7B"/>
    <w:rsid w:val="00E95C4F"/>
    <w:rsid w:val="00E95E01"/>
    <w:rsid w:val="00EA02C7"/>
    <w:rsid w:val="00EA055C"/>
    <w:rsid w:val="00EA1207"/>
    <w:rsid w:val="00EA2B9C"/>
    <w:rsid w:val="00EA48A7"/>
    <w:rsid w:val="00EA5312"/>
    <w:rsid w:val="00EA590D"/>
    <w:rsid w:val="00EA7889"/>
    <w:rsid w:val="00EA794D"/>
    <w:rsid w:val="00EB0E9D"/>
    <w:rsid w:val="00EB0FA1"/>
    <w:rsid w:val="00EB10E9"/>
    <w:rsid w:val="00EB2D0F"/>
    <w:rsid w:val="00EB3234"/>
    <w:rsid w:val="00EB362D"/>
    <w:rsid w:val="00EB3A60"/>
    <w:rsid w:val="00EB3CE4"/>
    <w:rsid w:val="00EB40A2"/>
    <w:rsid w:val="00EB4C7A"/>
    <w:rsid w:val="00EB5326"/>
    <w:rsid w:val="00EB5786"/>
    <w:rsid w:val="00EB5B2B"/>
    <w:rsid w:val="00EB6102"/>
    <w:rsid w:val="00EB6654"/>
    <w:rsid w:val="00EB691B"/>
    <w:rsid w:val="00EB6D3F"/>
    <w:rsid w:val="00EB750E"/>
    <w:rsid w:val="00EC048D"/>
    <w:rsid w:val="00EC0A40"/>
    <w:rsid w:val="00EC108B"/>
    <w:rsid w:val="00EC1265"/>
    <w:rsid w:val="00EC2387"/>
    <w:rsid w:val="00EC2CF2"/>
    <w:rsid w:val="00EC3085"/>
    <w:rsid w:val="00EC42A1"/>
    <w:rsid w:val="00EC42B0"/>
    <w:rsid w:val="00EC43E9"/>
    <w:rsid w:val="00EC4860"/>
    <w:rsid w:val="00EC5480"/>
    <w:rsid w:val="00EC5540"/>
    <w:rsid w:val="00EC61DF"/>
    <w:rsid w:val="00EC624C"/>
    <w:rsid w:val="00EC6A2E"/>
    <w:rsid w:val="00EC6C36"/>
    <w:rsid w:val="00EC70CA"/>
    <w:rsid w:val="00EC74D4"/>
    <w:rsid w:val="00EC75B5"/>
    <w:rsid w:val="00ED046A"/>
    <w:rsid w:val="00ED0650"/>
    <w:rsid w:val="00ED10AB"/>
    <w:rsid w:val="00ED2030"/>
    <w:rsid w:val="00ED2353"/>
    <w:rsid w:val="00ED342F"/>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3B4E"/>
    <w:rsid w:val="00EE4388"/>
    <w:rsid w:val="00EE4C78"/>
    <w:rsid w:val="00EE5275"/>
    <w:rsid w:val="00EE5944"/>
    <w:rsid w:val="00EE6832"/>
    <w:rsid w:val="00EE6911"/>
    <w:rsid w:val="00EF0014"/>
    <w:rsid w:val="00EF0572"/>
    <w:rsid w:val="00EF1002"/>
    <w:rsid w:val="00EF3793"/>
    <w:rsid w:val="00EF42D4"/>
    <w:rsid w:val="00EF6433"/>
    <w:rsid w:val="00EF7E96"/>
    <w:rsid w:val="00F00A92"/>
    <w:rsid w:val="00F02840"/>
    <w:rsid w:val="00F04D79"/>
    <w:rsid w:val="00F0612C"/>
    <w:rsid w:val="00F07FDF"/>
    <w:rsid w:val="00F11AC4"/>
    <w:rsid w:val="00F151E3"/>
    <w:rsid w:val="00F164C1"/>
    <w:rsid w:val="00F16B27"/>
    <w:rsid w:val="00F17DB3"/>
    <w:rsid w:val="00F17EE3"/>
    <w:rsid w:val="00F17FF2"/>
    <w:rsid w:val="00F209C7"/>
    <w:rsid w:val="00F217BB"/>
    <w:rsid w:val="00F22350"/>
    <w:rsid w:val="00F22353"/>
    <w:rsid w:val="00F225B5"/>
    <w:rsid w:val="00F234B4"/>
    <w:rsid w:val="00F23A4D"/>
    <w:rsid w:val="00F23FFE"/>
    <w:rsid w:val="00F24D12"/>
    <w:rsid w:val="00F2534E"/>
    <w:rsid w:val="00F2543E"/>
    <w:rsid w:val="00F25BF3"/>
    <w:rsid w:val="00F277EE"/>
    <w:rsid w:val="00F279AB"/>
    <w:rsid w:val="00F306F4"/>
    <w:rsid w:val="00F30F6D"/>
    <w:rsid w:val="00F31F4C"/>
    <w:rsid w:val="00F3225C"/>
    <w:rsid w:val="00F3394C"/>
    <w:rsid w:val="00F349A6"/>
    <w:rsid w:val="00F35F01"/>
    <w:rsid w:val="00F37B0F"/>
    <w:rsid w:val="00F40714"/>
    <w:rsid w:val="00F407AA"/>
    <w:rsid w:val="00F40F5A"/>
    <w:rsid w:val="00F41015"/>
    <w:rsid w:val="00F42764"/>
    <w:rsid w:val="00F427A5"/>
    <w:rsid w:val="00F42C5F"/>
    <w:rsid w:val="00F42DF0"/>
    <w:rsid w:val="00F4374C"/>
    <w:rsid w:val="00F438A9"/>
    <w:rsid w:val="00F43BE5"/>
    <w:rsid w:val="00F43D1E"/>
    <w:rsid w:val="00F45A9E"/>
    <w:rsid w:val="00F47630"/>
    <w:rsid w:val="00F50ABF"/>
    <w:rsid w:val="00F50D3C"/>
    <w:rsid w:val="00F5161D"/>
    <w:rsid w:val="00F51C9F"/>
    <w:rsid w:val="00F5275E"/>
    <w:rsid w:val="00F52F74"/>
    <w:rsid w:val="00F53E33"/>
    <w:rsid w:val="00F540C6"/>
    <w:rsid w:val="00F5448A"/>
    <w:rsid w:val="00F54FEE"/>
    <w:rsid w:val="00F5751C"/>
    <w:rsid w:val="00F57ABC"/>
    <w:rsid w:val="00F57AC5"/>
    <w:rsid w:val="00F608C0"/>
    <w:rsid w:val="00F60D09"/>
    <w:rsid w:val="00F60D4F"/>
    <w:rsid w:val="00F60EBA"/>
    <w:rsid w:val="00F61923"/>
    <w:rsid w:val="00F6249F"/>
    <w:rsid w:val="00F627BE"/>
    <w:rsid w:val="00F62855"/>
    <w:rsid w:val="00F62BB1"/>
    <w:rsid w:val="00F670BD"/>
    <w:rsid w:val="00F7029D"/>
    <w:rsid w:val="00F70445"/>
    <w:rsid w:val="00F70D70"/>
    <w:rsid w:val="00F718DB"/>
    <w:rsid w:val="00F72A75"/>
    <w:rsid w:val="00F73614"/>
    <w:rsid w:val="00F73B67"/>
    <w:rsid w:val="00F74D21"/>
    <w:rsid w:val="00F74EEF"/>
    <w:rsid w:val="00F75917"/>
    <w:rsid w:val="00F778C6"/>
    <w:rsid w:val="00F77ADC"/>
    <w:rsid w:val="00F80594"/>
    <w:rsid w:val="00F8144F"/>
    <w:rsid w:val="00F81943"/>
    <w:rsid w:val="00F81A75"/>
    <w:rsid w:val="00F827C2"/>
    <w:rsid w:val="00F82D34"/>
    <w:rsid w:val="00F83DA5"/>
    <w:rsid w:val="00F843EB"/>
    <w:rsid w:val="00F84918"/>
    <w:rsid w:val="00F85DDC"/>
    <w:rsid w:val="00F861F6"/>
    <w:rsid w:val="00F86477"/>
    <w:rsid w:val="00F86721"/>
    <w:rsid w:val="00F86CA8"/>
    <w:rsid w:val="00F8744A"/>
    <w:rsid w:val="00F90562"/>
    <w:rsid w:val="00F91540"/>
    <w:rsid w:val="00F923DA"/>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5E2A"/>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282B"/>
    <w:rsid w:val="00FD4300"/>
    <w:rsid w:val="00FD4EF0"/>
    <w:rsid w:val="00FD5550"/>
    <w:rsid w:val="00FD6C74"/>
    <w:rsid w:val="00FD72EE"/>
    <w:rsid w:val="00FD762A"/>
    <w:rsid w:val="00FE2FA1"/>
    <w:rsid w:val="00FE31AC"/>
    <w:rsid w:val="00FE4500"/>
    <w:rsid w:val="00FE5DCA"/>
    <w:rsid w:val="00FE62A3"/>
    <w:rsid w:val="00FE6975"/>
    <w:rsid w:val="00FE7D90"/>
    <w:rsid w:val="00FF067B"/>
    <w:rsid w:val="00FF109F"/>
    <w:rsid w:val="00FF1131"/>
    <w:rsid w:val="00FF2A5D"/>
    <w:rsid w:val="00FF3C20"/>
    <w:rsid w:val="00FF3C66"/>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CC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87326A"/>
    <w:pPr>
      <w:ind w:left="1440" w:hanging="360"/>
      <w:contextualSpacing/>
    </w:pPr>
  </w:style>
  <w:style w:type="paragraph" w:styleId="List5">
    <w:name w:val="List 5"/>
    <w:basedOn w:val="Normal"/>
    <w:uiPriority w:val="99"/>
    <w:semiHidden/>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1340</Words>
  <Characters>7641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Moon-il Lee</cp:lastModifiedBy>
  <cp:revision>4</cp:revision>
  <dcterms:created xsi:type="dcterms:W3CDTF">2023-04-07T19:01:00Z</dcterms:created>
  <dcterms:modified xsi:type="dcterms:W3CDTF">2023-04-07T19:01:00Z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